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2"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240091"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240091"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77777777" w:rsidR="002D0D42" w:rsidRPr="00F13545" w:rsidRDefault="002D0D42" w:rsidP="00FD5FBB">
      <w:pPr>
        <w:jc w:val="right"/>
        <w:rPr>
          <w:rFonts w:cstheme="minorHAnsi"/>
          <w:b/>
          <w:iCs/>
          <w:sz w:val="28"/>
          <w:szCs w:val="28"/>
        </w:rPr>
      </w:pPr>
    </w:p>
    <w:p w14:paraId="7056077A" w14:textId="3BCE5F81" w:rsidR="00FC3614" w:rsidRDefault="00FC3614" w:rsidP="003765A0">
      <w:pPr>
        <w:pStyle w:val="Headline"/>
        <w:rPr>
          <w:rFonts w:asciiTheme="minorHAnsi" w:hAnsiTheme="minorHAnsi" w:cstheme="minorHAnsi"/>
          <w:bCs/>
        </w:rPr>
      </w:pPr>
      <w:r>
        <w:rPr>
          <w:rFonts w:asciiTheme="minorHAnsi" w:hAnsiTheme="minorHAnsi" w:cstheme="minorHAnsi"/>
          <w:iCs/>
        </w:rPr>
        <w:t xml:space="preserve">Komatsu’s </w:t>
      </w:r>
      <w:r w:rsidRPr="00800515">
        <w:rPr>
          <w:rFonts w:asciiTheme="minorHAnsi" w:hAnsiTheme="minorHAnsi" w:cstheme="minorHAnsi"/>
          <w:bCs/>
        </w:rPr>
        <w:t xml:space="preserve">WA475-10 </w:t>
      </w:r>
      <w:r w:rsidR="00DF391F">
        <w:rPr>
          <w:rFonts w:asciiTheme="minorHAnsi" w:hAnsiTheme="minorHAnsi" w:cstheme="minorHAnsi"/>
          <w:bCs/>
        </w:rPr>
        <w:t xml:space="preserve">WH </w:t>
      </w:r>
      <w:r>
        <w:rPr>
          <w:rFonts w:asciiTheme="minorHAnsi" w:hAnsiTheme="minorHAnsi" w:cstheme="minorHAnsi"/>
          <w:bCs/>
        </w:rPr>
        <w:t xml:space="preserve">wheel loader/waste handler </w:t>
      </w:r>
    </w:p>
    <w:p w14:paraId="51B2833D" w14:textId="47CBEC87" w:rsidR="00FC3614" w:rsidRDefault="00FC3614" w:rsidP="003765A0">
      <w:pPr>
        <w:pStyle w:val="Headline"/>
        <w:rPr>
          <w:rFonts w:asciiTheme="minorHAnsi" w:hAnsiTheme="minorHAnsi" w:cstheme="minorHAnsi"/>
          <w:iCs/>
        </w:rPr>
      </w:pPr>
      <w:r>
        <w:rPr>
          <w:rFonts w:asciiTheme="minorHAnsi" w:hAnsiTheme="minorHAnsi" w:cstheme="minorHAnsi"/>
          <w:bCs/>
        </w:rPr>
        <w:t xml:space="preserve">will be featured </w:t>
      </w:r>
      <w:r w:rsidR="00BC7E2A">
        <w:rPr>
          <w:rFonts w:asciiTheme="minorHAnsi" w:hAnsiTheme="minorHAnsi" w:cstheme="minorHAnsi"/>
          <w:bCs/>
        </w:rPr>
        <w:t xml:space="preserve">at </w:t>
      </w:r>
      <w:r w:rsidR="005C222B" w:rsidRPr="00F13545">
        <w:rPr>
          <w:rFonts w:asciiTheme="minorHAnsi" w:hAnsiTheme="minorHAnsi" w:cstheme="minorHAnsi"/>
          <w:iCs/>
        </w:rPr>
        <w:t>CONEXPO</w:t>
      </w:r>
      <w:r w:rsidR="005C222B">
        <w:rPr>
          <w:rFonts w:asciiTheme="minorHAnsi" w:hAnsiTheme="minorHAnsi" w:cstheme="minorHAnsi"/>
          <w:iCs/>
        </w:rPr>
        <w:t>-CON/AGG</w:t>
      </w:r>
      <w:r w:rsidR="005C222B" w:rsidRPr="00F13545">
        <w:rPr>
          <w:rFonts w:asciiTheme="minorHAnsi" w:hAnsiTheme="minorHAnsi" w:cstheme="minorHAnsi"/>
          <w:iCs/>
        </w:rPr>
        <w:t xml:space="preserve"> 2023</w:t>
      </w:r>
    </w:p>
    <w:p w14:paraId="2E0459EE" w14:textId="6C866302" w:rsidR="008B5A06" w:rsidRPr="00885CA2" w:rsidRDefault="00FC3614" w:rsidP="003765A0">
      <w:pPr>
        <w:pStyle w:val="Headline"/>
        <w:rPr>
          <w:rStyle w:val="None"/>
          <w:rFonts w:cstheme="minorHAnsi"/>
          <w:shd w:val="clear" w:color="auto" w:fill="FFFFFF"/>
        </w:rPr>
      </w:pPr>
      <w:r>
        <w:rPr>
          <w:rFonts w:asciiTheme="minorHAnsi" w:hAnsiTheme="minorHAnsi" w:cstheme="minorHAnsi"/>
          <w:b w:val="0"/>
          <w:bCs/>
          <w:i/>
          <w:sz w:val="22"/>
          <w:szCs w:val="22"/>
        </w:rPr>
        <w:t>Customizable waste guarding packages designed to meet demanding environments</w:t>
      </w:r>
      <w:r w:rsidR="005C222B">
        <w:rPr>
          <w:rFonts w:asciiTheme="minorHAnsi" w:hAnsiTheme="minorHAnsi" w:cstheme="minorHAnsi"/>
          <w:iCs/>
        </w:rPr>
        <w:t xml:space="preserve"> </w:t>
      </w:r>
    </w:p>
    <w:p w14:paraId="698CCB4E" w14:textId="77777777" w:rsidR="003765A0" w:rsidRDefault="003765A0" w:rsidP="00A7707A">
      <w:pPr>
        <w:spacing w:after="0" w:line="240" w:lineRule="auto"/>
        <w:rPr>
          <w:rFonts w:cstheme="minorHAnsi"/>
          <w:bCs/>
        </w:rPr>
      </w:pPr>
    </w:p>
    <w:p w14:paraId="158AC490" w14:textId="0AF0FBDC" w:rsidR="00420B78" w:rsidRPr="00800515" w:rsidRDefault="0089378C" w:rsidP="00420B78">
      <w:pPr>
        <w:spacing w:after="0" w:line="240" w:lineRule="auto"/>
        <w:rPr>
          <w:rFonts w:cstheme="minorHAnsi"/>
          <w:bCs/>
        </w:rPr>
      </w:pPr>
      <w:r w:rsidRPr="00800515">
        <w:rPr>
          <w:rFonts w:cstheme="minorHAnsi"/>
          <w:b/>
        </w:rPr>
        <w:t>March 14, 2023</w:t>
      </w:r>
      <w:r w:rsidRPr="00800515">
        <w:rPr>
          <w:rFonts w:cstheme="minorHAnsi"/>
          <w:bCs/>
        </w:rPr>
        <w:t xml:space="preserve"> —</w:t>
      </w:r>
      <w:r w:rsidR="003302CE" w:rsidRPr="00800515">
        <w:rPr>
          <w:rFonts w:cstheme="minorHAnsi"/>
        </w:rPr>
        <w:t xml:space="preserve"> </w:t>
      </w:r>
      <w:r w:rsidR="00D03D71" w:rsidRPr="00800515">
        <w:rPr>
          <w:rFonts w:cstheme="minorHAnsi"/>
          <w:bCs/>
        </w:rPr>
        <w:t>To m</w:t>
      </w:r>
      <w:r w:rsidR="003302CE" w:rsidRPr="00800515">
        <w:rPr>
          <w:rFonts w:cstheme="minorHAnsi"/>
          <w:bCs/>
        </w:rPr>
        <w:t xml:space="preserve">eet the challenges of waste </w:t>
      </w:r>
      <w:r w:rsidR="00D03D71" w:rsidRPr="00800515">
        <w:rPr>
          <w:rFonts w:cstheme="minorHAnsi"/>
          <w:bCs/>
        </w:rPr>
        <w:t xml:space="preserve">management, Komatsu’s </w:t>
      </w:r>
      <w:hyperlink r:id="rId11" w:history="1">
        <w:r w:rsidR="00D03D71" w:rsidRPr="00C97B95">
          <w:rPr>
            <w:rStyle w:val="Hyperlink"/>
            <w:rFonts w:cstheme="minorHAnsi"/>
            <w:bCs/>
          </w:rPr>
          <w:t>WA475-10 WH</w:t>
        </w:r>
      </w:hyperlink>
      <w:r w:rsidR="00D03D71" w:rsidRPr="00800515">
        <w:rPr>
          <w:rFonts w:cstheme="minorHAnsi"/>
          <w:bCs/>
        </w:rPr>
        <w:t xml:space="preserve"> is a productive wheel loader</w:t>
      </w:r>
      <w:r w:rsidR="003302CE" w:rsidRPr="00800515">
        <w:rPr>
          <w:rFonts w:cstheme="minorHAnsi"/>
          <w:bCs/>
        </w:rPr>
        <w:t xml:space="preserve"> </w:t>
      </w:r>
      <w:r w:rsidR="00420B78" w:rsidRPr="00800515">
        <w:rPr>
          <w:rFonts w:cstheme="minorHAnsi"/>
          <w:bCs/>
        </w:rPr>
        <w:t xml:space="preserve">with </w:t>
      </w:r>
      <w:r w:rsidR="003302CE" w:rsidRPr="00800515">
        <w:rPr>
          <w:rFonts w:cstheme="minorHAnsi"/>
          <w:bCs/>
        </w:rPr>
        <w:t>customizable waste guarding package</w:t>
      </w:r>
      <w:r w:rsidR="00420B78" w:rsidRPr="00800515">
        <w:rPr>
          <w:rFonts w:cstheme="minorHAnsi"/>
          <w:bCs/>
        </w:rPr>
        <w:t>s and tire options t</w:t>
      </w:r>
      <w:r w:rsidR="0017471B">
        <w:rPr>
          <w:rFonts w:cstheme="minorHAnsi"/>
          <w:bCs/>
        </w:rPr>
        <w:t xml:space="preserve">hat can be </w:t>
      </w:r>
      <w:r w:rsidR="00420B78" w:rsidRPr="00800515">
        <w:rPr>
          <w:rFonts w:cstheme="minorHAnsi"/>
          <w:bCs/>
        </w:rPr>
        <w:t>configure</w:t>
      </w:r>
      <w:r w:rsidR="00482CFC">
        <w:rPr>
          <w:rFonts w:cstheme="minorHAnsi"/>
          <w:bCs/>
        </w:rPr>
        <w:t>d</w:t>
      </w:r>
      <w:r w:rsidR="00420B78" w:rsidRPr="00800515">
        <w:rPr>
          <w:rFonts w:cstheme="minorHAnsi"/>
          <w:bCs/>
        </w:rPr>
        <w:t xml:space="preserve"> </w:t>
      </w:r>
      <w:r w:rsidR="0017471B">
        <w:rPr>
          <w:rFonts w:cstheme="minorHAnsi"/>
          <w:bCs/>
        </w:rPr>
        <w:t xml:space="preserve">for </w:t>
      </w:r>
      <w:r w:rsidR="00420B78" w:rsidRPr="00800515">
        <w:rPr>
          <w:rFonts w:cstheme="minorHAnsi"/>
          <w:bCs/>
        </w:rPr>
        <w:t>specific waste</w:t>
      </w:r>
      <w:r w:rsidR="004A3CC2">
        <w:rPr>
          <w:rFonts w:cstheme="minorHAnsi"/>
          <w:bCs/>
        </w:rPr>
        <w:t xml:space="preserve"> or scrap handling</w:t>
      </w:r>
      <w:r w:rsidR="00420B78" w:rsidRPr="00800515">
        <w:rPr>
          <w:rFonts w:cstheme="minorHAnsi"/>
          <w:bCs/>
        </w:rPr>
        <w:t xml:space="preserve"> applications</w:t>
      </w:r>
      <w:r w:rsidR="003302CE" w:rsidRPr="00800515">
        <w:rPr>
          <w:rFonts w:cstheme="minorHAnsi"/>
          <w:bCs/>
        </w:rPr>
        <w:t>.​</w:t>
      </w:r>
      <w:r w:rsidR="00420B78" w:rsidRPr="00800515">
        <w:rPr>
          <w:rFonts w:cstheme="minorHAnsi"/>
          <w:bCs/>
        </w:rPr>
        <w:t xml:space="preserve"> On display in</w:t>
      </w:r>
      <w:hyperlink r:id="rId12" w:history="1">
        <w:r w:rsidR="00420B78" w:rsidRPr="00DC3DB6">
          <w:rPr>
            <w:rStyle w:val="Hyperlink"/>
            <w:rFonts w:cstheme="minorHAnsi"/>
            <w:bCs/>
          </w:rPr>
          <w:t xml:space="preserve"> Komatsu</w:t>
        </w:r>
      </w:hyperlink>
      <w:r w:rsidR="00420B78" w:rsidRPr="00800515">
        <w:rPr>
          <w:rFonts w:cstheme="minorHAnsi"/>
          <w:bCs/>
        </w:rPr>
        <w:t xml:space="preserve"> booth </w:t>
      </w:r>
      <w:r w:rsidR="00420B78" w:rsidRPr="00800515">
        <w:rPr>
          <w:rFonts w:cstheme="minorHAnsi"/>
        </w:rPr>
        <w:t xml:space="preserve">W42044 at CONEXPO/CON/AGG 2023, the WA475-10 WH </w:t>
      </w:r>
      <w:r w:rsidR="00420B78" w:rsidRPr="00800515">
        <w:rPr>
          <w:rFonts w:cstheme="minorHAnsi"/>
          <w:bCs/>
        </w:rPr>
        <w:t>was developed based on customer feedback and incorporates an improved pressurized cab, enhanced machine visibility and increased ease of operation with features like independent work equipment control.</w:t>
      </w:r>
    </w:p>
    <w:p w14:paraId="3CCF11C6" w14:textId="6EE9B1F1" w:rsidR="00420B78" w:rsidRPr="00800515" w:rsidRDefault="00420B78" w:rsidP="00420B78">
      <w:pPr>
        <w:spacing w:after="0" w:line="240" w:lineRule="auto"/>
        <w:rPr>
          <w:rFonts w:cstheme="minorHAnsi"/>
          <w:bCs/>
        </w:rPr>
      </w:pPr>
    </w:p>
    <w:p w14:paraId="6FABDED6" w14:textId="6DAF6C55" w:rsidR="0005530F" w:rsidRPr="00800515" w:rsidRDefault="00B507FE" w:rsidP="0005530F">
      <w:pPr>
        <w:spacing w:after="0" w:line="240" w:lineRule="auto"/>
        <w:rPr>
          <w:rFonts w:cstheme="minorHAnsi"/>
          <w:bCs/>
        </w:rPr>
      </w:pPr>
      <w:r>
        <w:rPr>
          <w:noProof/>
        </w:rPr>
        <mc:AlternateContent>
          <mc:Choice Requires="wps">
            <w:drawing>
              <wp:anchor distT="0" distB="0" distL="114300" distR="114300" simplePos="0" relativeHeight="251658241" behindDoc="1" locked="0" layoutInCell="1" allowOverlap="1" wp14:anchorId="42534762" wp14:editId="04A13A08">
                <wp:simplePos x="0" y="0"/>
                <wp:positionH relativeFrom="column">
                  <wp:posOffset>2704465</wp:posOffset>
                </wp:positionH>
                <wp:positionV relativeFrom="paragraph">
                  <wp:posOffset>1696720</wp:posOffset>
                </wp:positionV>
                <wp:extent cx="290385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903855" cy="635"/>
                        </a:xfrm>
                        <a:prstGeom prst="rect">
                          <a:avLst/>
                        </a:prstGeom>
                        <a:solidFill>
                          <a:prstClr val="white"/>
                        </a:solidFill>
                        <a:ln>
                          <a:noFill/>
                        </a:ln>
                      </wps:spPr>
                      <wps:txbx>
                        <w:txbxContent>
                          <w:p w14:paraId="72B2BA66" w14:textId="286C0B24" w:rsidR="00B507FE" w:rsidRPr="00B011E7" w:rsidRDefault="00B507FE" w:rsidP="00B507FE">
                            <w:pPr>
                              <w:pStyle w:val="Caption"/>
                              <w:rPr>
                                <w:rFonts w:cstheme="minorHAnsi"/>
                                <w:bCs/>
                                <w:noProof/>
                              </w:rPr>
                            </w:pPr>
                            <w:r>
                              <w:t>Komatsu's WA475-10 WH is designed to</w:t>
                            </w:r>
                            <w:r w:rsidR="001E6CF7">
                              <w:t xml:space="preserve"> meet the challenging needs of the waste management industry.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534762" id="_x0000_t202" coordsize="21600,21600" o:spt="202" path="m,l,21600r21600,l21600,xe">
                <v:stroke joinstyle="miter"/>
                <v:path gradientshapeok="t" o:connecttype="rect"/>
              </v:shapetype>
              <v:shape id="Text Box 3" o:spid="_x0000_s1026" type="#_x0000_t202" style="position:absolute;margin-left:212.95pt;margin-top:133.6pt;width:228.65pt;height:.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" stroked="f">
                <v:textbox style="mso-fit-shape-to-text:t" inset="0,0,0,0">
                  <w:txbxContent>
                    <w:p w14:paraId="72B2BA66" w14:textId="286C0B24" w:rsidR="00B507FE" w:rsidRPr="00B011E7" w:rsidRDefault="00B507FE" w:rsidP="00B507FE">
                      <w:pPr>
                        <w:pStyle w:val="Caption"/>
                        <w:rPr>
                          <w:rFonts w:cstheme="minorHAnsi"/>
                          <w:bCs/>
                          <w:noProof/>
                        </w:rPr>
                      </w:pPr>
                      <w:r>
                        <w:t>Komatsu's WA475-10 WH is designed to</w:t>
                      </w:r>
                      <w:r w:rsidR="001E6CF7">
                        <w:t xml:space="preserve"> meet the challenging needs of the waste management industry.</w:t>
                      </w:r>
                    </w:p>
                  </w:txbxContent>
                </v:textbox>
                <w10:wrap type="tight"/>
              </v:shape>
            </w:pict>
          </mc:Fallback>
        </mc:AlternateContent>
      </w:r>
      <w:r>
        <w:rPr>
          <w:rFonts w:cstheme="minorHAnsi"/>
          <w:bCs/>
          <w:noProof/>
        </w:rPr>
        <w:drawing>
          <wp:anchor distT="0" distB="0" distL="114300" distR="114300" simplePos="0" relativeHeight="251658240" behindDoc="1" locked="0" layoutInCell="1" allowOverlap="1" wp14:anchorId="64F9A075" wp14:editId="3A6B6F57">
            <wp:simplePos x="0" y="0"/>
            <wp:positionH relativeFrom="column">
              <wp:posOffset>2704465</wp:posOffset>
            </wp:positionH>
            <wp:positionV relativeFrom="paragraph">
              <wp:posOffset>6350</wp:posOffset>
            </wp:positionV>
            <wp:extent cx="2903855" cy="1633220"/>
            <wp:effectExtent l="0" t="0" r="0" b="5080"/>
            <wp:wrapTight wrapText="bothSides">
              <wp:wrapPolygon edited="0">
                <wp:start x="0" y="0"/>
                <wp:lineTo x="0" y="21415"/>
                <wp:lineTo x="21397" y="21415"/>
                <wp:lineTo x="213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3855" cy="1633220"/>
                    </a:xfrm>
                    <a:prstGeom prst="rect">
                      <a:avLst/>
                    </a:prstGeom>
                  </pic:spPr>
                </pic:pic>
              </a:graphicData>
            </a:graphic>
            <wp14:sizeRelH relativeFrom="margin">
              <wp14:pctWidth>0</wp14:pctWidth>
            </wp14:sizeRelH>
            <wp14:sizeRelV relativeFrom="margin">
              <wp14:pctHeight>0</wp14:pctHeight>
            </wp14:sizeRelV>
          </wp:anchor>
        </w:drawing>
      </w:r>
      <w:r w:rsidR="0058055C">
        <w:rPr>
          <w:rFonts w:cstheme="minorHAnsi"/>
          <w:bCs/>
        </w:rPr>
        <w:t xml:space="preserve">In addition to the </w:t>
      </w:r>
      <w:r w:rsidR="00420B78" w:rsidRPr="00800515">
        <w:rPr>
          <w:rFonts w:cstheme="minorHAnsi"/>
          <w:bCs/>
        </w:rPr>
        <w:t>customizable waste guarding package</w:t>
      </w:r>
      <w:r w:rsidR="0058055C">
        <w:rPr>
          <w:rFonts w:cstheme="minorHAnsi"/>
          <w:bCs/>
        </w:rPr>
        <w:t>,</w:t>
      </w:r>
      <w:r w:rsidR="00672E9A">
        <w:rPr>
          <w:rFonts w:cstheme="minorHAnsi"/>
          <w:bCs/>
        </w:rPr>
        <w:t xml:space="preserve"> </w:t>
      </w:r>
      <w:r w:rsidR="001A753F">
        <w:rPr>
          <w:rFonts w:cstheme="minorHAnsi"/>
          <w:bCs/>
        </w:rPr>
        <w:t>optional</w:t>
      </w:r>
      <w:r w:rsidR="00420B78" w:rsidRPr="00800515">
        <w:rPr>
          <w:rFonts w:cstheme="minorHAnsi"/>
          <w:bCs/>
        </w:rPr>
        <w:t xml:space="preserve"> joystick steering for easier maneuverability</w:t>
      </w:r>
      <w:r w:rsidR="003030E4">
        <w:rPr>
          <w:rFonts w:cstheme="minorHAnsi"/>
          <w:bCs/>
        </w:rPr>
        <w:t xml:space="preserve"> and</w:t>
      </w:r>
      <w:r w:rsidR="00420B78" w:rsidRPr="00800515">
        <w:rPr>
          <w:rFonts w:cstheme="minorHAnsi"/>
          <w:bCs/>
        </w:rPr>
        <w:t xml:space="preserve"> improve</w:t>
      </w:r>
      <w:r w:rsidR="003030E4">
        <w:rPr>
          <w:rFonts w:cstheme="minorHAnsi"/>
          <w:bCs/>
        </w:rPr>
        <w:t>d</w:t>
      </w:r>
      <w:r w:rsidR="00420B78" w:rsidRPr="00800515">
        <w:rPr>
          <w:rFonts w:cstheme="minorHAnsi"/>
          <w:bCs/>
        </w:rPr>
        <w:t xml:space="preserve"> visibility</w:t>
      </w:r>
      <w:r w:rsidR="0058055C">
        <w:rPr>
          <w:rFonts w:cstheme="minorHAnsi"/>
          <w:bCs/>
        </w:rPr>
        <w:t xml:space="preserve"> is also available</w:t>
      </w:r>
      <w:r w:rsidR="00420B78" w:rsidRPr="00800515">
        <w:rPr>
          <w:rFonts w:cstheme="minorHAnsi"/>
          <w:bCs/>
        </w:rPr>
        <w:t>.</w:t>
      </w:r>
      <w:r w:rsidR="00800515" w:rsidRPr="00800515">
        <w:rPr>
          <w:rFonts w:cstheme="minorHAnsi"/>
          <w:bCs/>
        </w:rPr>
        <w:t xml:space="preserve"> </w:t>
      </w:r>
      <w:r w:rsidR="0005530F" w:rsidRPr="00800515">
        <w:rPr>
          <w:rFonts w:cstheme="minorHAnsi"/>
          <w:bCs/>
        </w:rPr>
        <w:t xml:space="preserve">The </w:t>
      </w:r>
      <w:r w:rsidR="007D79A5">
        <w:rPr>
          <w:rFonts w:cstheme="minorHAnsi"/>
          <w:bCs/>
        </w:rPr>
        <w:t xml:space="preserve">model includes the innovative </w:t>
      </w:r>
      <w:r w:rsidR="0005530F" w:rsidRPr="00800515">
        <w:rPr>
          <w:rFonts w:cstheme="minorHAnsi"/>
          <w:bCs/>
        </w:rPr>
        <w:t>next-gen Komatsu hydraulic mechanical transmission (K-HMT)</w:t>
      </w:r>
      <w:r w:rsidR="007D79A5">
        <w:rPr>
          <w:rFonts w:cstheme="minorHAnsi"/>
          <w:bCs/>
        </w:rPr>
        <w:t xml:space="preserve">, </w:t>
      </w:r>
      <w:r w:rsidR="0005530F" w:rsidRPr="00800515">
        <w:rPr>
          <w:rFonts w:cstheme="minorHAnsi"/>
          <w:bCs/>
        </w:rPr>
        <w:t>improv</w:t>
      </w:r>
      <w:r w:rsidR="007D79A5">
        <w:rPr>
          <w:rFonts w:cstheme="minorHAnsi"/>
          <w:bCs/>
        </w:rPr>
        <w:t>ing</w:t>
      </w:r>
      <w:r w:rsidR="0005530F" w:rsidRPr="00800515">
        <w:rPr>
          <w:rFonts w:cstheme="minorHAnsi"/>
          <w:bCs/>
        </w:rPr>
        <w:t xml:space="preserve"> fuel efficiency (by up to 30%) and simplif</w:t>
      </w:r>
      <w:r w:rsidR="00C97CBA">
        <w:rPr>
          <w:rFonts w:cstheme="minorHAnsi"/>
          <w:bCs/>
        </w:rPr>
        <w:t xml:space="preserve">ying </w:t>
      </w:r>
      <w:r w:rsidR="0005530F" w:rsidRPr="00800515">
        <w:rPr>
          <w:rFonts w:cstheme="minorHAnsi"/>
          <w:bCs/>
        </w:rPr>
        <w:t>operation.​</w:t>
      </w:r>
      <w:r w:rsidR="0005530F" w:rsidRPr="00800515">
        <w:rPr>
          <w:rFonts w:cstheme="minorHAnsi"/>
        </w:rPr>
        <w:t xml:space="preserve"> </w:t>
      </w:r>
    </w:p>
    <w:p w14:paraId="22A40E2D" w14:textId="77777777" w:rsidR="0005530F" w:rsidRDefault="0005530F" w:rsidP="00420B78">
      <w:pPr>
        <w:spacing w:after="0" w:line="240" w:lineRule="auto"/>
        <w:rPr>
          <w:rFonts w:cstheme="minorHAnsi"/>
          <w:bCs/>
        </w:rPr>
      </w:pPr>
    </w:p>
    <w:p w14:paraId="6329F66E" w14:textId="5C4572CB" w:rsidR="00800515" w:rsidRPr="00800515" w:rsidRDefault="00800515" w:rsidP="00420B78">
      <w:pPr>
        <w:spacing w:after="0" w:line="240" w:lineRule="auto"/>
        <w:rPr>
          <w:rFonts w:cstheme="minorHAnsi"/>
          <w:bCs/>
        </w:rPr>
      </w:pPr>
      <w:r w:rsidRPr="00800515">
        <w:rPr>
          <w:rFonts w:cstheme="minorHAnsi"/>
          <w:bCs/>
        </w:rPr>
        <w:t>To protect vital machine parts, improve protection from airborne debris and reduce wear on components</w:t>
      </w:r>
      <w:r w:rsidR="0005530F">
        <w:rPr>
          <w:rFonts w:cstheme="minorHAnsi"/>
          <w:bCs/>
        </w:rPr>
        <w:t xml:space="preserve"> for the WA475-10 WH</w:t>
      </w:r>
      <w:r w:rsidRPr="00800515">
        <w:rPr>
          <w:rFonts w:cstheme="minorHAnsi"/>
          <w:bCs/>
        </w:rPr>
        <w:t>:</w:t>
      </w:r>
    </w:p>
    <w:p w14:paraId="3279F4B2" w14:textId="77777777" w:rsidR="00800515" w:rsidRPr="00800515" w:rsidRDefault="00800515" w:rsidP="00420B78">
      <w:pPr>
        <w:spacing w:after="0" w:line="240" w:lineRule="auto"/>
        <w:rPr>
          <w:rFonts w:cstheme="minorHAnsi"/>
          <w:bCs/>
        </w:rPr>
      </w:pPr>
    </w:p>
    <w:p w14:paraId="051CD721" w14:textId="59E177E4" w:rsidR="00800515" w:rsidRPr="00800515" w:rsidRDefault="00800515" w:rsidP="00800515">
      <w:pPr>
        <w:pStyle w:val="ListParagraph"/>
        <w:numPr>
          <w:ilvl w:val="0"/>
          <w:numId w:val="22"/>
        </w:numPr>
        <w:rPr>
          <w:rFonts w:asciiTheme="minorHAnsi" w:hAnsiTheme="minorHAnsi" w:cstheme="minorHAnsi"/>
          <w:bCs/>
        </w:rPr>
      </w:pPr>
      <w:r w:rsidRPr="00800515">
        <w:rPr>
          <w:rFonts w:asciiTheme="minorHAnsi" w:hAnsiTheme="minorHAnsi" w:cstheme="minorHAnsi"/>
          <w:bCs/>
        </w:rPr>
        <w:t xml:space="preserve">The front and rear frame </w:t>
      </w:r>
      <w:proofErr w:type="spellStart"/>
      <w:r w:rsidRPr="00800515">
        <w:rPr>
          <w:rFonts w:asciiTheme="minorHAnsi" w:hAnsiTheme="minorHAnsi" w:cstheme="minorHAnsi"/>
          <w:bCs/>
        </w:rPr>
        <w:t>underguard</w:t>
      </w:r>
      <w:proofErr w:type="spellEnd"/>
      <w:r w:rsidRPr="00800515">
        <w:rPr>
          <w:rFonts w:asciiTheme="minorHAnsi" w:hAnsiTheme="minorHAnsi" w:cstheme="minorHAnsi"/>
          <w:bCs/>
        </w:rPr>
        <w:t xml:space="preserve"> protects the engine oil pan, oil drain and fuel tank drain and reduces debris buildup, while shielding powertrain and hydraulic components</w:t>
      </w:r>
      <w:r w:rsidR="002D4B19">
        <w:rPr>
          <w:rFonts w:asciiTheme="minorHAnsi" w:hAnsiTheme="minorHAnsi" w:cstheme="minorHAnsi"/>
          <w:bCs/>
        </w:rPr>
        <w:t>.</w:t>
      </w:r>
    </w:p>
    <w:p w14:paraId="5159A661" w14:textId="2BEC27EA" w:rsidR="00800515" w:rsidRPr="00800515" w:rsidRDefault="00800515" w:rsidP="00800515">
      <w:pPr>
        <w:pStyle w:val="ListParagraph"/>
        <w:numPr>
          <w:ilvl w:val="0"/>
          <w:numId w:val="22"/>
        </w:numPr>
        <w:rPr>
          <w:rFonts w:asciiTheme="minorHAnsi" w:hAnsiTheme="minorHAnsi" w:cstheme="minorHAnsi"/>
          <w:bCs/>
        </w:rPr>
      </w:pPr>
      <w:r w:rsidRPr="00800515">
        <w:rPr>
          <w:rFonts w:asciiTheme="minorHAnsi" w:hAnsiTheme="minorHAnsi" w:cstheme="minorHAnsi"/>
          <w:bCs/>
        </w:rPr>
        <w:t>The fuel tank guard encloses the exposed surfaces of the fuel tank to minimize damage and transfers impact forces into the rear frame and counterweight</w:t>
      </w:r>
      <w:r w:rsidR="002D4B19">
        <w:rPr>
          <w:rFonts w:asciiTheme="minorHAnsi" w:hAnsiTheme="minorHAnsi" w:cstheme="minorHAnsi"/>
          <w:bCs/>
        </w:rPr>
        <w:t>.</w:t>
      </w:r>
    </w:p>
    <w:p w14:paraId="7750BB31" w14:textId="2181359F" w:rsidR="00800515" w:rsidRPr="00800515" w:rsidRDefault="00800515" w:rsidP="00800515">
      <w:pPr>
        <w:pStyle w:val="ListParagraph"/>
        <w:numPr>
          <w:ilvl w:val="0"/>
          <w:numId w:val="22"/>
        </w:numPr>
        <w:rPr>
          <w:rFonts w:asciiTheme="minorHAnsi" w:hAnsiTheme="minorHAnsi" w:cstheme="minorHAnsi"/>
          <w:bCs/>
        </w:rPr>
      </w:pPr>
      <w:r w:rsidRPr="00800515">
        <w:rPr>
          <w:rFonts w:asciiTheme="minorHAnsi" w:hAnsiTheme="minorHAnsi" w:cstheme="minorHAnsi"/>
          <w:bCs/>
        </w:rPr>
        <w:t>The axle seal guards are adjustable to ensure fit and reduce debris build up around shaft and seals</w:t>
      </w:r>
      <w:r w:rsidR="002D4B19">
        <w:rPr>
          <w:rFonts w:asciiTheme="minorHAnsi" w:hAnsiTheme="minorHAnsi" w:cstheme="minorHAnsi"/>
          <w:bCs/>
        </w:rPr>
        <w:t>.</w:t>
      </w:r>
    </w:p>
    <w:p w14:paraId="5C2CE4F6" w14:textId="46957582" w:rsidR="00800515" w:rsidRDefault="00800515" w:rsidP="00420B78">
      <w:pPr>
        <w:pStyle w:val="ListParagraph"/>
        <w:numPr>
          <w:ilvl w:val="0"/>
          <w:numId w:val="22"/>
        </w:numPr>
        <w:rPr>
          <w:rFonts w:asciiTheme="minorHAnsi" w:hAnsiTheme="minorHAnsi" w:cstheme="minorHAnsi"/>
          <w:bCs/>
        </w:rPr>
      </w:pPr>
      <w:r w:rsidRPr="00800515">
        <w:rPr>
          <w:rFonts w:asciiTheme="minorHAnsi" w:hAnsiTheme="minorHAnsi" w:cstheme="minorHAnsi"/>
          <w:bCs/>
        </w:rPr>
        <w:t>The c</w:t>
      </w:r>
      <w:r w:rsidR="00420B78" w:rsidRPr="00800515">
        <w:rPr>
          <w:rFonts w:asciiTheme="minorHAnsi" w:hAnsiTheme="minorHAnsi" w:cstheme="minorHAnsi"/>
          <w:bCs/>
        </w:rPr>
        <w:t>ooling screens</w:t>
      </w:r>
      <w:r w:rsidRPr="00800515">
        <w:rPr>
          <w:rFonts w:asciiTheme="minorHAnsi" w:hAnsiTheme="minorHAnsi" w:cstheme="minorHAnsi"/>
          <w:bCs/>
        </w:rPr>
        <w:t xml:space="preserve"> i</w:t>
      </w:r>
      <w:r w:rsidR="00420B78" w:rsidRPr="00800515">
        <w:rPr>
          <w:rFonts w:asciiTheme="minorHAnsi" w:hAnsiTheme="minorHAnsi" w:cstheme="minorHAnsi"/>
          <w:bCs/>
        </w:rPr>
        <w:t>ncrease effective open area for airflow</w:t>
      </w:r>
      <w:r w:rsidRPr="00800515">
        <w:rPr>
          <w:rFonts w:asciiTheme="minorHAnsi" w:hAnsiTheme="minorHAnsi" w:cstheme="minorHAnsi"/>
          <w:bCs/>
        </w:rPr>
        <w:t>,</w:t>
      </w:r>
      <w:r w:rsidR="00420B78" w:rsidRPr="00800515">
        <w:rPr>
          <w:rFonts w:asciiTheme="minorHAnsi" w:hAnsiTheme="minorHAnsi" w:cstheme="minorHAnsi"/>
          <w:bCs/>
        </w:rPr>
        <w:t xml:space="preserve"> while reducing the </w:t>
      </w:r>
      <w:proofErr w:type="gramStart"/>
      <w:r w:rsidR="00420B78" w:rsidRPr="00800515">
        <w:rPr>
          <w:rFonts w:asciiTheme="minorHAnsi" w:hAnsiTheme="minorHAnsi" w:cstheme="minorHAnsi"/>
          <w:bCs/>
        </w:rPr>
        <w:t>amount</w:t>
      </w:r>
      <w:proofErr w:type="gramEnd"/>
      <w:r w:rsidR="00420B78" w:rsidRPr="00800515">
        <w:rPr>
          <w:rFonts w:asciiTheme="minorHAnsi" w:hAnsiTheme="minorHAnsi" w:cstheme="minorHAnsi"/>
          <w:bCs/>
        </w:rPr>
        <w:t xml:space="preserve"> of debris reaching the coolers</w:t>
      </w:r>
      <w:r w:rsidR="002D4B19">
        <w:rPr>
          <w:rFonts w:asciiTheme="minorHAnsi" w:hAnsiTheme="minorHAnsi" w:cstheme="minorHAnsi"/>
          <w:bCs/>
        </w:rPr>
        <w:t>.</w:t>
      </w:r>
    </w:p>
    <w:p w14:paraId="2A45F6D7" w14:textId="36465BC1" w:rsidR="0017471B" w:rsidRPr="0017471B" w:rsidRDefault="0017471B" w:rsidP="0017471B">
      <w:pPr>
        <w:pStyle w:val="ListParagraph"/>
        <w:numPr>
          <w:ilvl w:val="0"/>
          <w:numId w:val="22"/>
        </w:numPr>
        <w:rPr>
          <w:rFonts w:asciiTheme="minorHAnsi" w:hAnsiTheme="minorHAnsi" w:cstheme="minorHAnsi"/>
          <w:bCs/>
        </w:rPr>
      </w:pPr>
      <w:r w:rsidRPr="00800515">
        <w:rPr>
          <w:rFonts w:asciiTheme="minorHAnsi" w:hAnsiTheme="minorHAnsi" w:cstheme="minorHAnsi"/>
          <w:bCs/>
        </w:rPr>
        <w:t>The bucket cylinder guard protects the bucket cylinder rod from falling debris</w:t>
      </w:r>
      <w:r w:rsidR="002D4B19">
        <w:rPr>
          <w:rFonts w:asciiTheme="minorHAnsi" w:hAnsiTheme="minorHAnsi" w:cstheme="minorHAnsi"/>
          <w:bCs/>
        </w:rPr>
        <w:t>.</w:t>
      </w:r>
    </w:p>
    <w:p w14:paraId="7800EDC4" w14:textId="1EBB104B" w:rsidR="00420B78" w:rsidRPr="00800515" w:rsidRDefault="00800515" w:rsidP="00420B78">
      <w:pPr>
        <w:pStyle w:val="ListParagraph"/>
        <w:numPr>
          <w:ilvl w:val="0"/>
          <w:numId w:val="22"/>
        </w:numPr>
        <w:rPr>
          <w:rFonts w:asciiTheme="minorHAnsi" w:hAnsiTheme="minorHAnsi" w:cstheme="minorHAnsi"/>
          <w:bCs/>
        </w:rPr>
      </w:pPr>
      <w:r w:rsidRPr="00800515">
        <w:rPr>
          <w:rFonts w:asciiTheme="minorHAnsi" w:hAnsiTheme="minorHAnsi" w:cstheme="minorHAnsi"/>
          <w:bCs/>
        </w:rPr>
        <w:t>The f</w:t>
      </w:r>
      <w:r w:rsidR="00420B78" w:rsidRPr="00800515">
        <w:rPr>
          <w:rFonts w:asciiTheme="minorHAnsi" w:hAnsiTheme="minorHAnsi" w:cstheme="minorHAnsi"/>
          <w:bCs/>
        </w:rPr>
        <w:t>ront window guard</w:t>
      </w:r>
      <w:r w:rsidRPr="00800515">
        <w:rPr>
          <w:rFonts w:asciiTheme="minorHAnsi" w:hAnsiTheme="minorHAnsi" w:cstheme="minorHAnsi"/>
          <w:bCs/>
        </w:rPr>
        <w:t xml:space="preserve"> p</w:t>
      </w:r>
      <w:r w:rsidR="00420B78" w:rsidRPr="00800515">
        <w:rPr>
          <w:rFonts w:asciiTheme="minorHAnsi" w:hAnsiTheme="minorHAnsi" w:cstheme="minorHAnsi"/>
          <w:bCs/>
        </w:rPr>
        <w:t>rovides an additional layer of protection</w:t>
      </w:r>
      <w:r w:rsidRPr="00800515">
        <w:rPr>
          <w:rFonts w:asciiTheme="minorHAnsi" w:hAnsiTheme="minorHAnsi" w:cstheme="minorHAnsi"/>
          <w:bCs/>
        </w:rPr>
        <w:t xml:space="preserve"> from large debris</w:t>
      </w:r>
      <w:r w:rsidR="00420B78" w:rsidRPr="00800515">
        <w:rPr>
          <w:rFonts w:asciiTheme="minorHAnsi" w:hAnsiTheme="minorHAnsi" w:cstheme="minorHAnsi"/>
          <w:bCs/>
        </w:rPr>
        <w:t xml:space="preserve"> </w:t>
      </w:r>
      <w:r w:rsidRPr="00800515">
        <w:rPr>
          <w:rFonts w:asciiTheme="minorHAnsi" w:hAnsiTheme="minorHAnsi" w:cstheme="minorHAnsi"/>
          <w:bCs/>
        </w:rPr>
        <w:t xml:space="preserve">for the operator and </w:t>
      </w:r>
      <w:r w:rsidR="00420B78" w:rsidRPr="00800515">
        <w:rPr>
          <w:rFonts w:asciiTheme="minorHAnsi" w:hAnsiTheme="minorHAnsi" w:cstheme="minorHAnsi"/>
          <w:bCs/>
        </w:rPr>
        <w:t>window</w:t>
      </w:r>
      <w:r w:rsidRPr="00800515">
        <w:rPr>
          <w:rFonts w:asciiTheme="minorHAnsi" w:hAnsiTheme="minorHAnsi" w:cstheme="minorHAnsi"/>
          <w:bCs/>
        </w:rPr>
        <w:t>, while g</w:t>
      </w:r>
      <w:r w:rsidR="00420B78" w:rsidRPr="00800515">
        <w:rPr>
          <w:rFonts w:asciiTheme="minorHAnsi" w:hAnsiTheme="minorHAnsi" w:cstheme="minorHAnsi"/>
          <w:bCs/>
        </w:rPr>
        <w:t xml:space="preserve">uards on the front and rear lights help protect </w:t>
      </w:r>
      <w:r w:rsidR="0017471B">
        <w:rPr>
          <w:rFonts w:asciiTheme="minorHAnsi" w:hAnsiTheme="minorHAnsi" w:cstheme="minorHAnsi"/>
          <w:bCs/>
        </w:rPr>
        <w:t>those from</w:t>
      </w:r>
      <w:r w:rsidR="00420B78" w:rsidRPr="00800515">
        <w:rPr>
          <w:rFonts w:asciiTheme="minorHAnsi" w:hAnsiTheme="minorHAnsi" w:cstheme="minorHAnsi"/>
          <w:bCs/>
        </w:rPr>
        <w:t xml:space="preserve"> damage</w:t>
      </w:r>
      <w:r w:rsidR="002D4B19">
        <w:rPr>
          <w:rFonts w:asciiTheme="minorHAnsi" w:hAnsiTheme="minorHAnsi" w:cstheme="minorHAnsi"/>
          <w:bCs/>
        </w:rPr>
        <w:t>.</w:t>
      </w:r>
    </w:p>
    <w:p w14:paraId="685E3781" w14:textId="77777777" w:rsidR="0089378C" w:rsidRPr="00800515" w:rsidRDefault="0089378C" w:rsidP="00A7707A">
      <w:pPr>
        <w:spacing w:after="0" w:line="240" w:lineRule="auto"/>
        <w:rPr>
          <w:rFonts w:cstheme="minorHAnsi"/>
          <w:bCs/>
        </w:rPr>
      </w:pPr>
    </w:p>
    <w:p w14:paraId="0E3D9BB5" w14:textId="5887AF55" w:rsidR="00952664" w:rsidRPr="00800515" w:rsidRDefault="00952664" w:rsidP="00A7707A">
      <w:pPr>
        <w:spacing w:after="0" w:line="240" w:lineRule="auto"/>
        <w:rPr>
          <w:rFonts w:cstheme="minorHAnsi"/>
          <w:b/>
        </w:rPr>
      </w:pPr>
      <w:r w:rsidRPr="00800515">
        <w:rPr>
          <w:rFonts w:cstheme="minorHAnsi"/>
          <w:bCs/>
        </w:rPr>
        <w:t xml:space="preserve">With the right products, latest technologies, actionable data and dealer support, Komatsu and its customers can create value together. </w:t>
      </w:r>
      <w:r w:rsidR="000D1B5A" w:rsidRPr="00800515">
        <w:rPr>
          <w:rFonts w:cstheme="minorHAnsi"/>
          <w:bCs/>
        </w:rPr>
        <w:t xml:space="preserve">To learn more, </w:t>
      </w:r>
      <w:r w:rsidR="0051428E" w:rsidRPr="00800515">
        <w:rPr>
          <w:rFonts w:cstheme="minorHAnsi"/>
          <w:bCs/>
        </w:rPr>
        <w:t>visit Komatsu</w:t>
      </w:r>
      <w:r w:rsidRPr="00800515">
        <w:rPr>
          <w:rFonts w:cstheme="minorHAnsi"/>
          <w:bCs/>
        </w:rPr>
        <w:t xml:space="preserve"> </w:t>
      </w:r>
      <w:r w:rsidR="001E2DCF" w:rsidRPr="00800515">
        <w:rPr>
          <w:rFonts w:cstheme="minorHAnsi"/>
          <w:bCs/>
        </w:rPr>
        <w:t>at</w:t>
      </w:r>
      <w:r w:rsidR="0075767D" w:rsidRPr="00800515">
        <w:rPr>
          <w:rFonts w:cstheme="minorHAnsi"/>
          <w:bCs/>
        </w:rPr>
        <w:t xml:space="preserve"> CONEXPO 2023 at</w:t>
      </w:r>
      <w:r w:rsidR="001E2DCF" w:rsidRPr="00800515">
        <w:rPr>
          <w:rFonts w:cstheme="minorHAnsi"/>
          <w:bCs/>
        </w:rPr>
        <w:t xml:space="preserve"> </w:t>
      </w:r>
      <w:r w:rsidRPr="00800515">
        <w:rPr>
          <w:rFonts w:cstheme="minorHAnsi"/>
          <w:bCs/>
        </w:rPr>
        <w:t>booth</w:t>
      </w:r>
      <w:r w:rsidR="00605E2D" w:rsidRPr="00800515">
        <w:rPr>
          <w:rFonts w:cstheme="minorHAnsi"/>
          <w:bCs/>
        </w:rPr>
        <w:t xml:space="preserve"> </w:t>
      </w:r>
      <w:r w:rsidRPr="00800515">
        <w:rPr>
          <w:rFonts w:cstheme="minorHAnsi"/>
        </w:rPr>
        <w:t>W42044.</w:t>
      </w:r>
      <w:r w:rsidR="00EA6B8C" w:rsidRPr="00800515">
        <w:rPr>
          <w:rFonts w:cstheme="minorHAnsi"/>
        </w:rPr>
        <w:t xml:space="preserve"> Additional </w:t>
      </w:r>
      <w:r w:rsidR="008751FD" w:rsidRPr="00800515">
        <w:rPr>
          <w:rFonts w:cstheme="minorHAnsi"/>
        </w:rPr>
        <w:t xml:space="preserve">products and </w:t>
      </w:r>
      <w:r w:rsidR="00EA6B8C" w:rsidRPr="00800515">
        <w:rPr>
          <w:rFonts w:cstheme="minorHAnsi"/>
        </w:rPr>
        <w:t>solutions will be highlighted at neighboring booths for Hensley Industries (</w:t>
      </w:r>
      <w:r w:rsidR="00806D87" w:rsidRPr="00800515">
        <w:rPr>
          <w:rFonts w:cstheme="minorHAnsi"/>
        </w:rPr>
        <w:t>W42028</w:t>
      </w:r>
      <w:r w:rsidR="00EA6B8C" w:rsidRPr="00800515">
        <w:rPr>
          <w:rFonts w:cstheme="minorHAnsi"/>
        </w:rPr>
        <w:t>),</w:t>
      </w:r>
      <w:r w:rsidR="00806D87" w:rsidRPr="00800515">
        <w:rPr>
          <w:rFonts w:cstheme="minorHAnsi"/>
        </w:rPr>
        <w:t xml:space="preserve"> and </w:t>
      </w:r>
      <w:proofErr w:type="spellStart"/>
      <w:r w:rsidR="00806D87" w:rsidRPr="00800515">
        <w:rPr>
          <w:rFonts w:cstheme="minorHAnsi"/>
        </w:rPr>
        <w:t>Montabert</w:t>
      </w:r>
      <w:proofErr w:type="spellEnd"/>
      <w:r w:rsidR="00806D87" w:rsidRPr="00800515">
        <w:rPr>
          <w:rFonts w:cstheme="minorHAnsi"/>
        </w:rPr>
        <w:t xml:space="preserve"> (W42229</w:t>
      </w:r>
      <w:r w:rsidR="008751FD" w:rsidRPr="00800515">
        <w:rPr>
          <w:rFonts w:cstheme="minorHAnsi"/>
        </w:rPr>
        <w:t>),</w:t>
      </w:r>
      <w:r w:rsidR="00EA6B8C" w:rsidRPr="00800515">
        <w:rPr>
          <w:rFonts w:cstheme="minorHAnsi"/>
        </w:rPr>
        <w:t xml:space="preserve"> both Komatsu subsidiaries.</w:t>
      </w:r>
    </w:p>
    <w:p w14:paraId="7A7FCF0B" w14:textId="77777777" w:rsidR="00A7707A" w:rsidRPr="00800515" w:rsidRDefault="00A7707A" w:rsidP="002C7BB6">
      <w:pPr>
        <w:spacing w:after="0" w:line="240" w:lineRule="auto"/>
        <w:rPr>
          <w:rFonts w:cstheme="minorHAnsi"/>
          <w:b/>
        </w:rPr>
      </w:pPr>
    </w:p>
    <w:p w14:paraId="1CAE85D7" w14:textId="77777777" w:rsidR="00405F38" w:rsidRPr="00800515" w:rsidRDefault="00BD4655" w:rsidP="002C7BB6">
      <w:pPr>
        <w:autoSpaceDE w:val="0"/>
        <w:autoSpaceDN w:val="0"/>
        <w:adjustRightInd w:val="0"/>
        <w:spacing w:after="0" w:line="240" w:lineRule="auto"/>
        <w:rPr>
          <w:rFonts w:cstheme="minorHAnsi"/>
          <w:b/>
        </w:rPr>
      </w:pPr>
      <w:r w:rsidRPr="00800515">
        <w:rPr>
          <w:rFonts w:cstheme="minorHAnsi"/>
          <w:b/>
        </w:rPr>
        <w:t>About Komatsu</w:t>
      </w:r>
    </w:p>
    <w:p w14:paraId="668AD2C1" w14:textId="56F5DD93" w:rsidR="000614AA" w:rsidRPr="00800515" w:rsidRDefault="004678C6" w:rsidP="000614AA">
      <w:pPr>
        <w:autoSpaceDE w:val="0"/>
        <w:autoSpaceDN w:val="0"/>
        <w:adjustRightInd w:val="0"/>
        <w:spacing w:after="0" w:line="240" w:lineRule="auto"/>
        <w:rPr>
          <w:rFonts w:cstheme="minorHAnsi"/>
        </w:rPr>
      </w:pPr>
      <w:r w:rsidRPr="00800515">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00515">
        <w:rPr>
          <w:rFonts w:cstheme="minorHAnsi"/>
        </w:rPr>
        <w:t>.</w:t>
      </w:r>
      <w:r w:rsidR="002D4B19">
        <w:rPr>
          <w:rFonts w:cstheme="minorHAnsi"/>
        </w:rPr>
        <w:t xml:space="preserve"> </w:t>
      </w:r>
      <w:r w:rsidR="000614AA" w:rsidRPr="00800515">
        <w:rPr>
          <w:rFonts w:cstheme="minorHAnsi"/>
        </w:rPr>
        <w:t xml:space="preserve">To learn more, visit </w:t>
      </w:r>
      <w:hyperlink r:id="rId14" w:history="1">
        <w:r w:rsidR="000614AA" w:rsidRPr="00800515">
          <w:rPr>
            <w:rStyle w:val="Hyperlink"/>
            <w:rFonts w:cstheme="minorHAnsi"/>
          </w:rPr>
          <w:t>www.komatsu.com</w:t>
        </w:r>
      </w:hyperlink>
      <w:r w:rsidR="000614AA" w:rsidRPr="00800515">
        <w:rPr>
          <w:rFonts w:cstheme="minorHAnsi"/>
        </w:rPr>
        <w:t xml:space="preserve"> </w:t>
      </w:r>
    </w:p>
    <w:p w14:paraId="717CF267" w14:textId="616C429E" w:rsidR="00484F74" w:rsidRPr="00800515" w:rsidRDefault="00484F74" w:rsidP="000614AA">
      <w:pPr>
        <w:autoSpaceDE w:val="0"/>
        <w:autoSpaceDN w:val="0"/>
        <w:adjustRightInd w:val="0"/>
        <w:spacing w:after="0" w:line="240" w:lineRule="auto"/>
        <w:rPr>
          <w:rFonts w:cstheme="minorHAnsi"/>
        </w:rPr>
      </w:pPr>
    </w:p>
    <w:p w14:paraId="11448224" w14:textId="468E4B6E" w:rsidR="00484F74"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p w14:paraId="5BF097B9" w14:textId="37F97491" w:rsidR="0017471B" w:rsidRDefault="0017471B" w:rsidP="00484F74">
      <w:pPr>
        <w:autoSpaceDE w:val="0"/>
        <w:autoSpaceDN w:val="0"/>
        <w:adjustRightInd w:val="0"/>
        <w:spacing w:after="0" w:line="240" w:lineRule="auto"/>
        <w:jc w:val="center"/>
        <w:rPr>
          <w:rFonts w:cstheme="minorHAnsi"/>
        </w:rPr>
      </w:pPr>
    </w:p>
    <w:p w14:paraId="77F9A8C7" w14:textId="5EAFACB3" w:rsidR="0017471B" w:rsidRPr="0017471B" w:rsidRDefault="0017471B" w:rsidP="0017471B">
      <w:pPr>
        <w:autoSpaceDE w:val="0"/>
        <w:autoSpaceDN w:val="0"/>
        <w:adjustRightInd w:val="0"/>
        <w:spacing w:after="0" w:line="240" w:lineRule="auto"/>
        <w:rPr>
          <w:rFonts w:cstheme="minorHAnsi"/>
        </w:rPr>
      </w:pPr>
      <w:r w:rsidRPr="0017471B">
        <w:rPr>
          <w:color w:val="000000"/>
        </w:rPr>
        <w:t>*All comparisons are to the previous Komatsu model unless otherwise stated.</w:t>
      </w:r>
    </w:p>
    <w:sectPr w:rsidR="0017471B" w:rsidRPr="0017471B"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50B9A"/>
    <w:multiLevelType w:val="hybridMultilevel"/>
    <w:tmpl w:val="6832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20"/>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 w:numId="22" w16cid:durableId="1502921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7E31"/>
    <w:rsid w:val="00037131"/>
    <w:rsid w:val="00044C28"/>
    <w:rsid w:val="00054D32"/>
    <w:rsid w:val="0005530F"/>
    <w:rsid w:val="0005566B"/>
    <w:rsid w:val="000614AA"/>
    <w:rsid w:val="00065C1E"/>
    <w:rsid w:val="000700C7"/>
    <w:rsid w:val="00070BD9"/>
    <w:rsid w:val="0009570B"/>
    <w:rsid w:val="00097ACD"/>
    <w:rsid w:val="000A5E43"/>
    <w:rsid w:val="000C54AD"/>
    <w:rsid w:val="000C5EA5"/>
    <w:rsid w:val="000D1B5A"/>
    <w:rsid w:val="000D3C39"/>
    <w:rsid w:val="000E145A"/>
    <w:rsid w:val="000E3F9F"/>
    <w:rsid w:val="000E6014"/>
    <w:rsid w:val="000E6ECF"/>
    <w:rsid w:val="000F4904"/>
    <w:rsid w:val="0010163E"/>
    <w:rsid w:val="0010233D"/>
    <w:rsid w:val="00106379"/>
    <w:rsid w:val="00107C37"/>
    <w:rsid w:val="00115F6F"/>
    <w:rsid w:val="0012034B"/>
    <w:rsid w:val="0012199E"/>
    <w:rsid w:val="0012469A"/>
    <w:rsid w:val="00127AB7"/>
    <w:rsid w:val="001300AB"/>
    <w:rsid w:val="0013013A"/>
    <w:rsid w:val="0013682A"/>
    <w:rsid w:val="00172515"/>
    <w:rsid w:val="00172F1D"/>
    <w:rsid w:val="0017471B"/>
    <w:rsid w:val="00174ADC"/>
    <w:rsid w:val="001844FA"/>
    <w:rsid w:val="00191994"/>
    <w:rsid w:val="00193708"/>
    <w:rsid w:val="001A753F"/>
    <w:rsid w:val="001B1DE3"/>
    <w:rsid w:val="001C2781"/>
    <w:rsid w:val="001C2963"/>
    <w:rsid w:val="001C6AE4"/>
    <w:rsid w:val="001D2E6D"/>
    <w:rsid w:val="001E2DCF"/>
    <w:rsid w:val="001E6C1B"/>
    <w:rsid w:val="001E6CF7"/>
    <w:rsid w:val="001F3BC7"/>
    <w:rsid w:val="001F6970"/>
    <w:rsid w:val="001F6EBA"/>
    <w:rsid w:val="002035BF"/>
    <w:rsid w:val="00212DF5"/>
    <w:rsid w:val="00216547"/>
    <w:rsid w:val="00224704"/>
    <w:rsid w:val="00231132"/>
    <w:rsid w:val="00237BBB"/>
    <w:rsid w:val="00245AD2"/>
    <w:rsid w:val="00260A64"/>
    <w:rsid w:val="00266796"/>
    <w:rsid w:val="00271CF8"/>
    <w:rsid w:val="0027294D"/>
    <w:rsid w:val="0028229A"/>
    <w:rsid w:val="00284FFC"/>
    <w:rsid w:val="00296B7A"/>
    <w:rsid w:val="002B39C8"/>
    <w:rsid w:val="002C7BB6"/>
    <w:rsid w:val="002D0D42"/>
    <w:rsid w:val="002D4AEC"/>
    <w:rsid w:val="002D4B19"/>
    <w:rsid w:val="002E1193"/>
    <w:rsid w:val="002E18B5"/>
    <w:rsid w:val="002E46C8"/>
    <w:rsid w:val="002F009D"/>
    <w:rsid w:val="002F2DFA"/>
    <w:rsid w:val="00302114"/>
    <w:rsid w:val="003030E4"/>
    <w:rsid w:val="003033E5"/>
    <w:rsid w:val="00307DED"/>
    <w:rsid w:val="00323875"/>
    <w:rsid w:val="003302CE"/>
    <w:rsid w:val="00333AA5"/>
    <w:rsid w:val="00334822"/>
    <w:rsid w:val="00350C73"/>
    <w:rsid w:val="00351051"/>
    <w:rsid w:val="00351EF9"/>
    <w:rsid w:val="00352040"/>
    <w:rsid w:val="0037389D"/>
    <w:rsid w:val="003765A0"/>
    <w:rsid w:val="00386120"/>
    <w:rsid w:val="00387C9F"/>
    <w:rsid w:val="00387F07"/>
    <w:rsid w:val="003A6441"/>
    <w:rsid w:val="003B4310"/>
    <w:rsid w:val="003B5D7F"/>
    <w:rsid w:val="003D4C01"/>
    <w:rsid w:val="003D50EB"/>
    <w:rsid w:val="003E0C3D"/>
    <w:rsid w:val="003E7CE7"/>
    <w:rsid w:val="00400435"/>
    <w:rsid w:val="00405F38"/>
    <w:rsid w:val="00420B78"/>
    <w:rsid w:val="004363E3"/>
    <w:rsid w:val="00456887"/>
    <w:rsid w:val="004604B9"/>
    <w:rsid w:val="00465978"/>
    <w:rsid w:val="004678C6"/>
    <w:rsid w:val="00482CFC"/>
    <w:rsid w:val="00484F74"/>
    <w:rsid w:val="00485EF7"/>
    <w:rsid w:val="004A3CC2"/>
    <w:rsid w:val="004A4AA8"/>
    <w:rsid w:val="004C16D0"/>
    <w:rsid w:val="004C2652"/>
    <w:rsid w:val="004C7BDC"/>
    <w:rsid w:val="004C7FBD"/>
    <w:rsid w:val="004F071D"/>
    <w:rsid w:val="004F124F"/>
    <w:rsid w:val="004F181D"/>
    <w:rsid w:val="00501306"/>
    <w:rsid w:val="005047A5"/>
    <w:rsid w:val="00505D9B"/>
    <w:rsid w:val="0051070F"/>
    <w:rsid w:val="00510EEB"/>
    <w:rsid w:val="0051428E"/>
    <w:rsid w:val="005202A0"/>
    <w:rsid w:val="0054296F"/>
    <w:rsid w:val="00543150"/>
    <w:rsid w:val="0055505B"/>
    <w:rsid w:val="00570B70"/>
    <w:rsid w:val="0058055C"/>
    <w:rsid w:val="005A1520"/>
    <w:rsid w:val="005A3CEE"/>
    <w:rsid w:val="005B5047"/>
    <w:rsid w:val="005C1C17"/>
    <w:rsid w:val="005C222B"/>
    <w:rsid w:val="005C49BA"/>
    <w:rsid w:val="005C7546"/>
    <w:rsid w:val="005D276B"/>
    <w:rsid w:val="005D35E1"/>
    <w:rsid w:val="005E1347"/>
    <w:rsid w:val="005E3849"/>
    <w:rsid w:val="005E773E"/>
    <w:rsid w:val="00605E2D"/>
    <w:rsid w:val="00607A32"/>
    <w:rsid w:val="006138A2"/>
    <w:rsid w:val="00644120"/>
    <w:rsid w:val="006478CD"/>
    <w:rsid w:val="00651096"/>
    <w:rsid w:val="00652ECF"/>
    <w:rsid w:val="0065340D"/>
    <w:rsid w:val="00663D93"/>
    <w:rsid w:val="006660C4"/>
    <w:rsid w:val="00672E9A"/>
    <w:rsid w:val="00690A46"/>
    <w:rsid w:val="006A3F56"/>
    <w:rsid w:val="006B1207"/>
    <w:rsid w:val="006F7923"/>
    <w:rsid w:val="007053DA"/>
    <w:rsid w:val="00707E21"/>
    <w:rsid w:val="0071094A"/>
    <w:rsid w:val="007120E8"/>
    <w:rsid w:val="0071719C"/>
    <w:rsid w:val="0072092E"/>
    <w:rsid w:val="007314BF"/>
    <w:rsid w:val="00735684"/>
    <w:rsid w:val="00737DE3"/>
    <w:rsid w:val="00737E59"/>
    <w:rsid w:val="00740609"/>
    <w:rsid w:val="007441DC"/>
    <w:rsid w:val="007469A5"/>
    <w:rsid w:val="00751737"/>
    <w:rsid w:val="0075237B"/>
    <w:rsid w:val="0075439B"/>
    <w:rsid w:val="00755A74"/>
    <w:rsid w:val="0075767D"/>
    <w:rsid w:val="00772BE2"/>
    <w:rsid w:val="00774C87"/>
    <w:rsid w:val="00776F90"/>
    <w:rsid w:val="007814E3"/>
    <w:rsid w:val="00781A68"/>
    <w:rsid w:val="00785CE1"/>
    <w:rsid w:val="00793532"/>
    <w:rsid w:val="007953B2"/>
    <w:rsid w:val="007A5777"/>
    <w:rsid w:val="007C3E06"/>
    <w:rsid w:val="007D56D3"/>
    <w:rsid w:val="007D79A5"/>
    <w:rsid w:val="007F5CB9"/>
    <w:rsid w:val="00800515"/>
    <w:rsid w:val="00802663"/>
    <w:rsid w:val="00803DA8"/>
    <w:rsid w:val="008042A7"/>
    <w:rsid w:val="0080480D"/>
    <w:rsid w:val="00806089"/>
    <w:rsid w:val="00806B7E"/>
    <w:rsid w:val="00806D87"/>
    <w:rsid w:val="00822B19"/>
    <w:rsid w:val="0083016B"/>
    <w:rsid w:val="00834D65"/>
    <w:rsid w:val="0085505E"/>
    <w:rsid w:val="008565FB"/>
    <w:rsid w:val="008717D5"/>
    <w:rsid w:val="008751FD"/>
    <w:rsid w:val="00876207"/>
    <w:rsid w:val="00885CA2"/>
    <w:rsid w:val="00891DE8"/>
    <w:rsid w:val="00892B45"/>
    <w:rsid w:val="0089378C"/>
    <w:rsid w:val="00894941"/>
    <w:rsid w:val="008A1047"/>
    <w:rsid w:val="008A2347"/>
    <w:rsid w:val="008A3F75"/>
    <w:rsid w:val="008B01F3"/>
    <w:rsid w:val="008B5A06"/>
    <w:rsid w:val="008C5768"/>
    <w:rsid w:val="008D36BA"/>
    <w:rsid w:val="008E12B5"/>
    <w:rsid w:val="00920105"/>
    <w:rsid w:val="009430BB"/>
    <w:rsid w:val="00952664"/>
    <w:rsid w:val="009678D6"/>
    <w:rsid w:val="00972D15"/>
    <w:rsid w:val="009851EE"/>
    <w:rsid w:val="009971BD"/>
    <w:rsid w:val="0099737C"/>
    <w:rsid w:val="009B409C"/>
    <w:rsid w:val="009F56AB"/>
    <w:rsid w:val="00A41A10"/>
    <w:rsid w:val="00A46E45"/>
    <w:rsid w:val="00A626F5"/>
    <w:rsid w:val="00A67176"/>
    <w:rsid w:val="00A7303D"/>
    <w:rsid w:val="00A7707A"/>
    <w:rsid w:val="00A90785"/>
    <w:rsid w:val="00AA1393"/>
    <w:rsid w:val="00AD0DD4"/>
    <w:rsid w:val="00AD1B74"/>
    <w:rsid w:val="00AD6945"/>
    <w:rsid w:val="00AE064E"/>
    <w:rsid w:val="00AE283B"/>
    <w:rsid w:val="00AE6527"/>
    <w:rsid w:val="00AF205D"/>
    <w:rsid w:val="00B00C7A"/>
    <w:rsid w:val="00B0696C"/>
    <w:rsid w:val="00B1243D"/>
    <w:rsid w:val="00B20D9A"/>
    <w:rsid w:val="00B24420"/>
    <w:rsid w:val="00B44DBF"/>
    <w:rsid w:val="00B45104"/>
    <w:rsid w:val="00B507FE"/>
    <w:rsid w:val="00B60C39"/>
    <w:rsid w:val="00B738C7"/>
    <w:rsid w:val="00B7703A"/>
    <w:rsid w:val="00B77447"/>
    <w:rsid w:val="00B83C30"/>
    <w:rsid w:val="00BA18BA"/>
    <w:rsid w:val="00BA30B3"/>
    <w:rsid w:val="00BA4F80"/>
    <w:rsid w:val="00BB4456"/>
    <w:rsid w:val="00BB74D0"/>
    <w:rsid w:val="00BC7E2A"/>
    <w:rsid w:val="00BD307A"/>
    <w:rsid w:val="00BD4655"/>
    <w:rsid w:val="00BD5E07"/>
    <w:rsid w:val="00BD75F3"/>
    <w:rsid w:val="00BE093C"/>
    <w:rsid w:val="00BF1BF3"/>
    <w:rsid w:val="00C047C7"/>
    <w:rsid w:val="00C261B8"/>
    <w:rsid w:val="00C3063B"/>
    <w:rsid w:val="00C33454"/>
    <w:rsid w:val="00C40D48"/>
    <w:rsid w:val="00C433FC"/>
    <w:rsid w:val="00C45742"/>
    <w:rsid w:val="00C5699B"/>
    <w:rsid w:val="00C65AC7"/>
    <w:rsid w:val="00C65CB8"/>
    <w:rsid w:val="00C73ADC"/>
    <w:rsid w:val="00C73C81"/>
    <w:rsid w:val="00C81563"/>
    <w:rsid w:val="00C91C71"/>
    <w:rsid w:val="00C97B95"/>
    <w:rsid w:val="00C97CBA"/>
    <w:rsid w:val="00CA3CF8"/>
    <w:rsid w:val="00CA7A65"/>
    <w:rsid w:val="00CB3EF2"/>
    <w:rsid w:val="00CB593F"/>
    <w:rsid w:val="00CB6AB7"/>
    <w:rsid w:val="00CC3311"/>
    <w:rsid w:val="00CC4A9D"/>
    <w:rsid w:val="00CC615A"/>
    <w:rsid w:val="00CE303C"/>
    <w:rsid w:val="00CE63B8"/>
    <w:rsid w:val="00CE6B95"/>
    <w:rsid w:val="00CF3B58"/>
    <w:rsid w:val="00D01202"/>
    <w:rsid w:val="00D036DF"/>
    <w:rsid w:val="00D03D71"/>
    <w:rsid w:val="00D07304"/>
    <w:rsid w:val="00D10741"/>
    <w:rsid w:val="00D12260"/>
    <w:rsid w:val="00D155A3"/>
    <w:rsid w:val="00D217AF"/>
    <w:rsid w:val="00D4018F"/>
    <w:rsid w:val="00D4580A"/>
    <w:rsid w:val="00D47AE5"/>
    <w:rsid w:val="00D50CA3"/>
    <w:rsid w:val="00D63B92"/>
    <w:rsid w:val="00D84A20"/>
    <w:rsid w:val="00D91E90"/>
    <w:rsid w:val="00DA1315"/>
    <w:rsid w:val="00DA5673"/>
    <w:rsid w:val="00DA6708"/>
    <w:rsid w:val="00DB226F"/>
    <w:rsid w:val="00DB409E"/>
    <w:rsid w:val="00DB767A"/>
    <w:rsid w:val="00DC3DB6"/>
    <w:rsid w:val="00DF391F"/>
    <w:rsid w:val="00E21597"/>
    <w:rsid w:val="00E242AF"/>
    <w:rsid w:val="00E2728A"/>
    <w:rsid w:val="00E62242"/>
    <w:rsid w:val="00E64259"/>
    <w:rsid w:val="00E645FA"/>
    <w:rsid w:val="00E71A93"/>
    <w:rsid w:val="00E7567A"/>
    <w:rsid w:val="00E8492F"/>
    <w:rsid w:val="00E923B2"/>
    <w:rsid w:val="00E93D16"/>
    <w:rsid w:val="00EA0B06"/>
    <w:rsid w:val="00EA6B8C"/>
    <w:rsid w:val="00EA6EE1"/>
    <w:rsid w:val="00EB4490"/>
    <w:rsid w:val="00EB4FBB"/>
    <w:rsid w:val="00EC03C4"/>
    <w:rsid w:val="00ED216C"/>
    <w:rsid w:val="00EE335F"/>
    <w:rsid w:val="00EF4A12"/>
    <w:rsid w:val="00EF5D3C"/>
    <w:rsid w:val="00F13349"/>
    <w:rsid w:val="00F13545"/>
    <w:rsid w:val="00F13679"/>
    <w:rsid w:val="00F1776C"/>
    <w:rsid w:val="00F20517"/>
    <w:rsid w:val="00F20D20"/>
    <w:rsid w:val="00F30098"/>
    <w:rsid w:val="00F32E39"/>
    <w:rsid w:val="00F41548"/>
    <w:rsid w:val="00F43C77"/>
    <w:rsid w:val="00F471BE"/>
    <w:rsid w:val="00F53A2A"/>
    <w:rsid w:val="00F56FC5"/>
    <w:rsid w:val="00F57A00"/>
    <w:rsid w:val="00F6742A"/>
    <w:rsid w:val="00F7608A"/>
    <w:rsid w:val="00F76BF1"/>
    <w:rsid w:val="00F966FC"/>
    <w:rsid w:val="00FB535E"/>
    <w:rsid w:val="00FC28B3"/>
    <w:rsid w:val="00FC3614"/>
    <w:rsid w:val="00FD1C8E"/>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3B57B263-0B27-4F14-985B-D6B953A2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paragraph" w:styleId="Heading4">
    <w:name w:val="heading 4"/>
    <w:basedOn w:val="Normal"/>
    <w:next w:val="Normal"/>
    <w:link w:val="Heading4Char"/>
    <w:uiPriority w:val="9"/>
    <w:semiHidden/>
    <w:unhideWhenUsed/>
    <w:qFormat/>
    <w:rsid w:val="003302CE"/>
    <w:pPr>
      <w:keepNext/>
      <w:keepLines/>
      <w:spacing w:before="40" w:after="0"/>
      <w:outlineLvl w:val="3"/>
    </w:pPr>
    <w:rPr>
      <w:rFonts w:asciiTheme="majorHAnsi" w:eastAsiaTheme="majorEastAsia" w:hAnsiTheme="majorHAnsi" w:cstheme="majorBidi"/>
      <w:i/>
      <w:iCs/>
      <w:color w:val="7880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Heading4Char">
    <w:name w:val="Heading 4 Char"/>
    <w:basedOn w:val="DefaultParagraphFont"/>
    <w:link w:val="Heading4"/>
    <w:uiPriority w:val="9"/>
    <w:semiHidden/>
    <w:rsid w:val="003302CE"/>
    <w:rPr>
      <w:rFonts w:asciiTheme="majorHAnsi" w:eastAsiaTheme="majorEastAsia" w:hAnsiTheme="majorHAnsi" w:cstheme="majorBidi"/>
      <w:i/>
      <w:iCs/>
      <w:color w:val="78808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863595339">
      <w:bodyDiv w:val="1"/>
      <w:marLeft w:val="0"/>
      <w:marRight w:val="0"/>
      <w:marTop w:val="0"/>
      <w:marBottom w:val="0"/>
      <w:divBdr>
        <w:top w:val="none" w:sz="0" w:space="0" w:color="auto"/>
        <w:left w:val="none" w:sz="0" w:space="0" w:color="auto"/>
        <w:bottom w:val="none" w:sz="0" w:space="0" w:color="auto"/>
        <w:right w:val="none" w:sz="0" w:space="0" w:color="auto"/>
      </w:divBdr>
      <w:divsChild>
        <w:div w:id="891503564">
          <w:marLeft w:val="0"/>
          <w:marRight w:val="0"/>
          <w:marTop w:val="0"/>
          <w:marBottom w:val="0"/>
          <w:divBdr>
            <w:top w:val="none" w:sz="0" w:space="0" w:color="auto"/>
            <w:left w:val="none" w:sz="0" w:space="0" w:color="auto"/>
            <w:bottom w:val="none" w:sz="0" w:space="0" w:color="auto"/>
            <w:right w:val="none" w:sz="0" w:space="0" w:color="auto"/>
          </w:divBdr>
        </w:div>
        <w:div w:id="2111974304">
          <w:marLeft w:val="0"/>
          <w:marRight w:val="0"/>
          <w:marTop w:val="0"/>
          <w:marBottom w:val="0"/>
          <w:divBdr>
            <w:top w:val="none" w:sz="0" w:space="0" w:color="auto"/>
            <w:left w:val="none" w:sz="0" w:space="0" w:color="auto"/>
            <w:bottom w:val="none" w:sz="0" w:space="0" w:color="auto"/>
            <w:right w:val="none" w:sz="0" w:space="0" w:color="auto"/>
          </w:divBdr>
        </w:div>
      </w:divsChild>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utm_source=Komatsu&amp;utm_medium=PressRelease&amp;utm_campaign=ConExpo2023&amp;utm_content=waste_wa475-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products/wheel-loaders/large-wheel-loaders/wa475-10-wh/?utm_source=Komatsu&amp;utm_medium=PressRelease&amp;utm_campaign=ConExpo2023&amp;utm_content=wa475-10w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2023-03-13T17:05:04+00:00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3D51C-71C1-4162-AA06-2B2482121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558</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3738</CharactersWithSpaces>
  <SharedDoc>false</SharedDoc>
  <HLinks>
    <vt:vector size="30" baseType="variant">
      <vt:variant>
        <vt:i4>2228332</vt:i4>
      </vt:variant>
      <vt:variant>
        <vt:i4>12</vt:i4>
      </vt:variant>
      <vt:variant>
        <vt:i4>0</vt:i4>
      </vt:variant>
      <vt:variant>
        <vt:i4>5</vt:i4>
      </vt:variant>
      <vt:variant>
        <vt:lpwstr>http://www.komatsu.com/</vt:lpwstr>
      </vt:variant>
      <vt:variant>
        <vt:lpwstr/>
      </vt:variant>
      <vt:variant>
        <vt:i4>4128835</vt:i4>
      </vt:variant>
      <vt:variant>
        <vt:i4>9</vt:i4>
      </vt:variant>
      <vt:variant>
        <vt:i4>0</vt:i4>
      </vt:variant>
      <vt:variant>
        <vt:i4>5</vt:i4>
      </vt:variant>
      <vt:variant>
        <vt:lpwstr>https://www.komatsu.com/?utm_source=Komatsu&amp;utm_medium=PressRelease&amp;utm_campaign=ConExpo2023&amp;utm_content=waste_wa475-10</vt:lpwstr>
      </vt:variant>
      <vt:variant>
        <vt:lpwstr/>
      </vt:variant>
      <vt:variant>
        <vt:i4>3932210</vt:i4>
      </vt:variant>
      <vt:variant>
        <vt:i4>6</vt:i4>
      </vt:variant>
      <vt:variant>
        <vt:i4>0</vt:i4>
      </vt:variant>
      <vt:variant>
        <vt:i4>5</vt:i4>
      </vt:variant>
      <vt:variant>
        <vt:lpwstr>https://www.komatsu.com/products/wheel-loaders/large-wheel-loaders/wa475-10-wh/?utm_source=Komatsu&amp;utm_medium=PressRelease&amp;utm_campaign=ConExpo2023&amp;utm_content=wa475-10wh</vt:lpwstr>
      </vt:variant>
      <vt:variant>
        <vt:lpwstr/>
      </vt:variant>
      <vt:variant>
        <vt:i4>2629752</vt:i4>
      </vt:variant>
      <vt:variant>
        <vt:i4>3</vt:i4>
      </vt:variant>
      <vt:variant>
        <vt:i4>0</vt:i4>
      </vt:variant>
      <vt:variant>
        <vt:i4>5</vt:i4>
      </vt:variant>
      <vt:variant>
        <vt:lpwstr>mailto:shawn-laree.o’neil@global.komatsu</vt:lpwstr>
      </vt:variant>
      <vt:variant>
        <vt:lpwstr/>
      </vt:variant>
      <vt:variant>
        <vt:i4>7471118</vt:i4>
      </vt:variant>
      <vt:variant>
        <vt:i4>0</vt:i4>
      </vt:variant>
      <vt:variant>
        <vt:i4>0</vt:i4>
      </vt:variant>
      <vt:variant>
        <vt:i4>5</vt:i4>
      </vt:variant>
      <vt:variant>
        <vt:lpwstr>mailto:jill.rick@global.komatsu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22</cp:revision>
  <cp:lastPrinted>2023-02-08T21:38:00Z</cp:lastPrinted>
  <dcterms:created xsi:type="dcterms:W3CDTF">2023-03-08T20:44:00Z</dcterms:created>
  <dcterms:modified xsi:type="dcterms:W3CDTF">2023-03-13T17:30:00Z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