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bookmarkStart w:id="0" w:name="_Hlk158639679"/>
      <w:bookmarkEnd w:id="0"/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245635E8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Jill Rick</w:t>
      </w:r>
    </w:p>
    <w:p w14:paraId="44D4BBC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+1 262-337-0854</w:t>
      </w:r>
    </w:p>
    <w:p w14:paraId="3033B51A" w14:textId="77777777" w:rsidR="00806089" w:rsidRDefault="00000000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806089" w:rsidRPr="00685302">
          <w:rPr>
            <w:rStyle w:val="Hyperlink"/>
            <w:rFonts w:cstheme="minorHAnsi"/>
          </w:rPr>
          <w:t>jill.rick@global.komatsu</w:t>
        </w:r>
      </w:hyperlink>
      <w:r w:rsidR="00806089">
        <w:rPr>
          <w:rFonts w:cstheme="minorHAnsi"/>
        </w:rPr>
        <w:t xml:space="preserve"> </w:t>
      </w:r>
    </w:p>
    <w:p w14:paraId="433056A7" w14:textId="77777777" w:rsidR="0080480D" w:rsidRPr="008A1047" w:rsidRDefault="0080480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2E6C4D4F" w14:textId="4B6C8243" w:rsidR="000C54AD" w:rsidRPr="008A1047" w:rsidRDefault="00DB767A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>Shawn-Laree O’Neil</w:t>
      </w:r>
    </w:p>
    <w:p w14:paraId="7876E0AA" w14:textId="47376C64" w:rsidR="000C54AD" w:rsidRDefault="000C54AD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 xml:space="preserve">+1 </w:t>
      </w:r>
      <w:r w:rsidR="005B5047">
        <w:rPr>
          <w:rFonts w:cstheme="minorHAnsi"/>
        </w:rPr>
        <w:t>773-802-0377</w:t>
      </w:r>
    </w:p>
    <w:p w14:paraId="344606EE" w14:textId="48B7E6A9" w:rsidR="005B5047" w:rsidRPr="008A1047" w:rsidRDefault="00000000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10" w:history="1">
        <w:proofErr w:type="spellStart"/>
        <w:r w:rsidR="005B5047" w:rsidRPr="00C433FC">
          <w:rPr>
            <w:rStyle w:val="Hyperlink"/>
            <w:rFonts w:cstheme="minorHAnsi"/>
          </w:rPr>
          <w:t>shawn-laree.o’neil@global.komatsu</w:t>
        </w:r>
        <w:proofErr w:type="spellEnd"/>
      </w:hyperlink>
    </w:p>
    <w:p w14:paraId="1217BE90" w14:textId="76F58F78" w:rsidR="00815F57" w:rsidRDefault="00815F57" w:rsidP="009B49E7">
      <w:pPr>
        <w:pStyle w:val="Headline"/>
        <w:jc w:val="left"/>
        <w:rPr>
          <w:b w:val="0"/>
          <w:bCs/>
          <w:i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2786FECD" w14:textId="3B7C7041" w:rsidR="0083238E" w:rsidRPr="004363E3" w:rsidRDefault="00634210" w:rsidP="0083238E">
      <w:pPr>
        <w:pStyle w:val="Headline"/>
      </w:pPr>
      <w:r>
        <w:t xml:space="preserve">Komatsu adds WX11 LHD to underground </w:t>
      </w:r>
      <w:r w:rsidR="00AB0D3E">
        <w:t>hard rock lineup</w:t>
      </w:r>
    </w:p>
    <w:p w14:paraId="00E9CE20" w14:textId="59743B88" w:rsidR="0083238E" w:rsidRPr="004363E3" w:rsidRDefault="00D037A6" w:rsidP="0083238E">
      <w:pPr>
        <w:pStyle w:val="Subhead"/>
      </w:pPr>
      <w:r>
        <w:t>New machine e</w:t>
      </w:r>
      <w:r w:rsidR="00F5797E" w:rsidRPr="00F5797E">
        <w:t xml:space="preserve">ngineered to drive productivity </w:t>
      </w:r>
      <w:r>
        <w:t>and lower TCO</w:t>
      </w:r>
    </w:p>
    <w:p w14:paraId="24955853" w14:textId="77777777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48E24819" w14:textId="3205CE9D" w:rsidR="00C53D21" w:rsidRPr="009D1C09" w:rsidRDefault="00D76DB5" w:rsidP="00C53D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170B2" wp14:editId="399CBF17">
                <wp:simplePos x="0" y="0"/>
                <wp:positionH relativeFrom="column">
                  <wp:posOffset>3232150</wp:posOffset>
                </wp:positionH>
                <wp:positionV relativeFrom="paragraph">
                  <wp:posOffset>3109595</wp:posOffset>
                </wp:positionV>
                <wp:extent cx="2499360" cy="635"/>
                <wp:effectExtent l="0" t="0" r="0" b="0"/>
                <wp:wrapSquare wrapText="bothSides"/>
                <wp:docPr id="3431146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24201A" w14:textId="7701CC0A" w:rsidR="00D76DB5" w:rsidRPr="00375DF8" w:rsidRDefault="00D76DB5" w:rsidP="00D76DB5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Komatsu's new WX11 LHD offer</w:t>
                            </w:r>
                            <w:r w:rsidR="00D2182C">
                              <w:t>s</w:t>
                            </w:r>
                            <w:r>
                              <w:t xml:space="preserve"> 8-10% more payload than competitor machines.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17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4.5pt;margin-top:244.85pt;width:196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" stroked="f">
                <v:textbox style="mso-fit-shape-to-text:t" inset="0,0,0,0">
                  <w:txbxContent>
                    <w:p w14:paraId="3F24201A" w14:textId="7701CC0A" w:rsidR="00D76DB5" w:rsidRPr="00375DF8" w:rsidRDefault="00D76DB5" w:rsidP="00D76DB5">
                      <w:pPr>
                        <w:pStyle w:val="Caption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t>Komatsu's new WX11 LHD offer</w:t>
                      </w:r>
                      <w:r w:rsidR="00D2182C">
                        <w:t>s</w:t>
                      </w:r>
                      <w:r>
                        <w:t xml:space="preserve"> 8-10% more payload than competitor machines.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C09">
        <w:rPr>
          <w:rFonts w:ascii="Arial" w:hAnsi="Arial" w:cs="Arial"/>
          <w:b/>
        </w:rPr>
        <w:t>Feb. 28,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r w:rsidR="009D1C09" w:rsidRPr="009D1C09">
        <w:rPr>
          <w:rFonts w:ascii="Arial" w:hAnsi="Arial" w:cs="Arial"/>
        </w:rPr>
        <w:t xml:space="preserve">Komatsu is excited to introduce </w:t>
      </w:r>
      <w:r w:rsidR="00B2115C">
        <w:rPr>
          <w:rFonts w:ascii="Arial" w:hAnsi="Arial" w:cs="Arial"/>
        </w:rPr>
        <w:t xml:space="preserve">to the global market </w:t>
      </w:r>
      <w:r w:rsidR="009D1C09" w:rsidRPr="009D1C09">
        <w:rPr>
          <w:rFonts w:ascii="Arial" w:hAnsi="Arial" w:cs="Arial"/>
        </w:rPr>
        <w:t xml:space="preserve">the new </w:t>
      </w:r>
      <w:hyperlink r:id="rId11" w:history="1">
        <w:r w:rsidR="009D1C09" w:rsidRPr="00C74106">
          <w:rPr>
            <w:rStyle w:val="Hyperlink"/>
            <w:rFonts w:ascii="Arial" w:hAnsi="Arial" w:cs="Arial"/>
          </w:rPr>
          <w:t>WX11 LHD</w:t>
        </w:r>
      </w:hyperlink>
      <w:r w:rsidR="00C53D21">
        <w:rPr>
          <w:rFonts w:ascii="Arial" w:hAnsi="Arial" w:cs="Arial"/>
        </w:rPr>
        <w:t xml:space="preserve">, a </w:t>
      </w:r>
      <w:r w:rsidR="00C53D21" w:rsidRPr="009D1C09">
        <w:rPr>
          <w:rFonts w:ascii="Arial" w:hAnsi="Arial" w:cs="Arial"/>
        </w:rPr>
        <w:t>powerful</w:t>
      </w:r>
      <w:r w:rsidR="00D52849">
        <w:rPr>
          <w:rFonts w:ascii="Arial" w:hAnsi="Arial" w:cs="Arial"/>
        </w:rPr>
        <w:t>, 11-tonne</w:t>
      </w:r>
      <w:r w:rsidR="00C53D21" w:rsidRPr="009D1C09">
        <w:rPr>
          <w:rFonts w:ascii="Arial" w:hAnsi="Arial" w:cs="Arial"/>
        </w:rPr>
        <w:t xml:space="preserve"> machine </w:t>
      </w:r>
      <w:r w:rsidR="00932A75">
        <w:rPr>
          <w:rFonts w:ascii="Arial" w:hAnsi="Arial" w:cs="Arial"/>
        </w:rPr>
        <w:t>that</w:t>
      </w:r>
      <w:r w:rsidR="00C53D21">
        <w:rPr>
          <w:rFonts w:ascii="Arial" w:hAnsi="Arial" w:cs="Arial"/>
        </w:rPr>
        <w:t xml:space="preserve"> offer</w:t>
      </w:r>
      <w:r w:rsidR="00932A75">
        <w:rPr>
          <w:rFonts w:ascii="Arial" w:hAnsi="Arial" w:cs="Arial"/>
        </w:rPr>
        <w:t>s</w:t>
      </w:r>
      <w:r w:rsidR="00C53D21" w:rsidRPr="009D1C09">
        <w:rPr>
          <w:rFonts w:ascii="Arial" w:hAnsi="Arial" w:cs="Arial"/>
        </w:rPr>
        <w:t xml:space="preserve"> </w:t>
      </w:r>
      <w:r w:rsidR="00E51194">
        <w:rPr>
          <w:rFonts w:ascii="Arial" w:hAnsi="Arial" w:cs="Arial"/>
        </w:rPr>
        <w:t xml:space="preserve">best-in-class </w:t>
      </w:r>
      <w:r w:rsidR="00C53D21" w:rsidRPr="009D1C09">
        <w:rPr>
          <w:rFonts w:ascii="Arial" w:hAnsi="Arial" w:cs="Arial"/>
        </w:rPr>
        <w:t xml:space="preserve">breakout force </w:t>
      </w:r>
      <w:r w:rsidR="00E51194">
        <w:rPr>
          <w:rFonts w:ascii="Arial" w:hAnsi="Arial" w:cs="Arial"/>
        </w:rPr>
        <w:t>and best-in-class</w:t>
      </w:r>
      <w:r w:rsidR="00D52849" w:rsidRPr="009D1C09">
        <w:rPr>
          <w:rFonts w:ascii="Arial" w:hAnsi="Arial" w:cs="Arial"/>
        </w:rPr>
        <w:t xml:space="preserve"> </w:t>
      </w:r>
      <w:r w:rsidR="00C53D21" w:rsidRPr="009D1C09">
        <w:rPr>
          <w:rFonts w:ascii="Arial" w:hAnsi="Arial" w:cs="Arial"/>
        </w:rPr>
        <w:t xml:space="preserve">payload </w:t>
      </w:r>
      <w:r w:rsidR="00AC424B">
        <w:rPr>
          <w:rFonts w:ascii="Arial" w:hAnsi="Arial" w:cs="Arial"/>
        </w:rPr>
        <w:t>helping to</w:t>
      </w:r>
      <w:r w:rsidR="0075202A">
        <w:rPr>
          <w:rFonts w:ascii="Arial" w:hAnsi="Arial" w:cs="Arial"/>
        </w:rPr>
        <w:t xml:space="preserve"> </w:t>
      </w:r>
      <w:r w:rsidR="00C53D21" w:rsidRPr="009D1C09">
        <w:rPr>
          <w:rFonts w:ascii="Arial" w:hAnsi="Arial" w:cs="Arial"/>
        </w:rPr>
        <w:t>maximiz</w:t>
      </w:r>
      <w:r w:rsidR="0075202A">
        <w:rPr>
          <w:rFonts w:ascii="Arial" w:hAnsi="Arial" w:cs="Arial"/>
        </w:rPr>
        <w:t>e</w:t>
      </w:r>
      <w:r w:rsidR="00C53D21" w:rsidRPr="009D1C09">
        <w:rPr>
          <w:rFonts w:ascii="Arial" w:hAnsi="Arial" w:cs="Arial"/>
        </w:rPr>
        <w:t xml:space="preserve"> productivity and </w:t>
      </w:r>
      <w:r w:rsidR="00C53D21">
        <w:rPr>
          <w:rFonts w:ascii="Arial" w:hAnsi="Arial" w:cs="Arial"/>
        </w:rPr>
        <w:t>provid</w:t>
      </w:r>
      <w:r w:rsidR="0075202A">
        <w:rPr>
          <w:rFonts w:ascii="Arial" w:hAnsi="Arial" w:cs="Arial"/>
        </w:rPr>
        <w:t>e</w:t>
      </w:r>
      <w:r w:rsidR="00C53D21">
        <w:rPr>
          <w:rFonts w:ascii="Arial" w:hAnsi="Arial" w:cs="Arial"/>
        </w:rPr>
        <w:t xml:space="preserve"> </w:t>
      </w:r>
      <w:r w:rsidR="00C53D21" w:rsidRPr="009D1C09">
        <w:rPr>
          <w:rFonts w:ascii="Arial" w:hAnsi="Arial" w:cs="Arial"/>
        </w:rPr>
        <w:t xml:space="preserve">a lower </w:t>
      </w:r>
      <w:r w:rsidR="00C53D21">
        <w:rPr>
          <w:rFonts w:ascii="Arial" w:hAnsi="Arial" w:cs="Arial"/>
        </w:rPr>
        <w:t>total cost of ownership.</w:t>
      </w:r>
    </w:p>
    <w:p w14:paraId="5739F676" w14:textId="1955BBF7" w:rsidR="009D1C09" w:rsidRPr="009B330F" w:rsidRDefault="00972FFC" w:rsidP="009D1C09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EC9F6F" wp14:editId="3D69BBBF">
            <wp:simplePos x="0" y="0"/>
            <wp:positionH relativeFrom="margin">
              <wp:align>right</wp:align>
            </wp:positionH>
            <wp:positionV relativeFrom="paragraph">
              <wp:posOffset>478155</wp:posOffset>
            </wp:positionV>
            <wp:extent cx="2635885" cy="1757045"/>
            <wp:effectExtent l="0" t="0" r="0" b="0"/>
            <wp:wrapSquare wrapText="bothSides"/>
            <wp:docPr id="2042798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98024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C09" w:rsidRPr="009D1C09">
        <w:rPr>
          <w:rFonts w:ascii="Arial" w:hAnsi="Arial" w:cs="Arial"/>
        </w:rPr>
        <w:t xml:space="preserve">The WX11 showcases Komatsu’s commitment to providing underground </w:t>
      </w:r>
      <w:r w:rsidR="00AB0D3E">
        <w:rPr>
          <w:rFonts w:ascii="Arial" w:hAnsi="Arial" w:cs="Arial"/>
        </w:rPr>
        <w:t>h</w:t>
      </w:r>
      <w:r w:rsidR="009D1C09" w:rsidRPr="009D1C09">
        <w:rPr>
          <w:rFonts w:ascii="Arial" w:hAnsi="Arial" w:cs="Arial"/>
        </w:rPr>
        <w:t xml:space="preserve">ard </w:t>
      </w:r>
      <w:r w:rsidR="00AB0D3E">
        <w:rPr>
          <w:rFonts w:ascii="Arial" w:hAnsi="Arial" w:cs="Arial"/>
        </w:rPr>
        <w:t>r</w:t>
      </w:r>
      <w:r w:rsidR="009D1C09" w:rsidRPr="009D1C09">
        <w:rPr>
          <w:rFonts w:ascii="Arial" w:hAnsi="Arial" w:cs="Arial"/>
        </w:rPr>
        <w:t xml:space="preserve">ock miners with </w:t>
      </w:r>
      <w:r w:rsidR="00D52849">
        <w:rPr>
          <w:rFonts w:ascii="Arial" w:hAnsi="Arial" w:cs="Arial"/>
        </w:rPr>
        <w:t>an exceptional</w:t>
      </w:r>
      <w:r w:rsidR="009D1C09" w:rsidRPr="009D1C09">
        <w:rPr>
          <w:rFonts w:ascii="Arial" w:hAnsi="Arial" w:cs="Arial"/>
        </w:rPr>
        <w:t xml:space="preserve"> load, </w:t>
      </w:r>
      <w:proofErr w:type="gramStart"/>
      <w:r w:rsidR="009D1C09" w:rsidRPr="009D1C09">
        <w:rPr>
          <w:rFonts w:ascii="Arial" w:hAnsi="Arial" w:cs="Arial"/>
        </w:rPr>
        <w:t>haul</w:t>
      </w:r>
      <w:proofErr w:type="gramEnd"/>
      <w:r w:rsidR="009D1C09" w:rsidRPr="009D1C09">
        <w:rPr>
          <w:rFonts w:ascii="Arial" w:hAnsi="Arial" w:cs="Arial"/>
        </w:rPr>
        <w:t xml:space="preserve"> and dump solution, integrating next-generation data management capabilities, operator ergonomics, intuitive controls and compliance with E</w:t>
      </w:r>
      <w:r w:rsidR="00715D4A">
        <w:rPr>
          <w:rFonts w:ascii="Arial" w:hAnsi="Arial" w:cs="Arial"/>
        </w:rPr>
        <w:t>U</w:t>
      </w:r>
      <w:r w:rsidR="009D1C09" w:rsidRPr="009D1C09">
        <w:rPr>
          <w:rFonts w:ascii="Arial" w:hAnsi="Arial" w:cs="Arial"/>
        </w:rPr>
        <w:t xml:space="preserve"> Stage V emission requirements.</w:t>
      </w:r>
      <w:r w:rsidR="009B330F">
        <w:rPr>
          <w:rFonts w:ascii="Arial" w:hAnsi="Arial" w:cs="Arial"/>
        </w:rPr>
        <w:t xml:space="preserve"> </w:t>
      </w:r>
      <w:r w:rsidR="009D1C09" w:rsidRPr="009D1C09">
        <w:rPr>
          <w:rFonts w:ascii="Arial" w:hAnsi="Arial" w:cs="Arial"/>
        </w:rPr>
        <w:t xml:space="preserve">As a new model within the Komatsu </w:t>
      </w:r>
      <w:r w:rsidR="00BC7016">
        <w:rPr>
          <w:rFonts w:ascii="Arial" w:hAnsi="Arial" w:cs="Arial"/>
        </w:rPr>
        <w:t>h</w:t>
      </w:r>
      <w:r w:rsidR="009D1C09" w:rsidRPr="009D1C09">
        <w:rPr>
          <w:rFonts w:ascii="Arial" w:hAnsi="Arial" w:cs="Arial"/>
        </w:rPr>
        <w:t xml:space="preserve">ard </w:t>
      </w:r>
      <w:r w:rsidR="00BC7016">
        <w:rPr>
          <w:rFonts w:ascii="Arial" w:hAnsi="Arial" w:cs="Arial"/>
        </w:rPr>
        <w:t>r</w:t>
      </w:r>
      <w:r w:rsidR="009D1C09" w:rsidRPr="009D1C09">
        <w:rPr>
          <w:rFonts w:ascii="Arial" w:hAnsi="Arial" w:cs="Arial"/>
        </w:rPr>
        <w:t xml:space="preserve">ock family of products, the WX11 </w:t>
      </w:r>
      <w:r w:rsidR="00D27B2A">
        <w:rPr>
          <w:rFonts w:ascii="Arial" w:hAnsi="Arial" w:cs="Arial"/>
        </w:rPr>
        <w:t xml:space="preserve">is designed </w:t>
      </w:r>
      <w:r w:rsidR="00CC326F">
        <w:rPr>
          <w:rFonts w:ascii="Arial" w:hAnsi="Arial" w:cs="Arial"/>
        </w:rPr>
        <w:t>to be</w:t>
      </w:r>
      <w:r w:rsidR="006F4107">
        <w:rPr>
          <w:rFonts w:ascii="Arial" w:hAnsi="Arial" w:cs="Arial"/>
        </w:rPr>
        <w:t xml:space="preserve"> a</w:t>
      </w:r>
      <w:r w:rsidR="009D1C09" w:rsidRPr="009D1C09">
        <w:rPr>
          <w:rFonts w:ascii="Arial" w:hAnsi="Arial" w:cs="Arial"/>
        </w:rPr>
        <w:t xml:space="preserve"> </w:t>
      </w:r>
      <w:proofErr w:type="gramStart"/>
      <w:r w:rsidR="009D1C09" w:rsidRPr="009D1C09">
        <w:rPr>
          <w:rFonts w:ascii="Arial" w:hAnsi="Arial" w:cs="Arial"/>
        </w:rPr>
        <w:t>class-leading</w:t>
      </w:r>
      <w:proofErr w:type="gramEnd"/>
      <w:r w:rsidR="009D1C09" w:rsidRPr="009D1C09">
        <w:rPr>
          <w:rFonts w:ascii="Arial" w:hAnsi="Arial" w:cs="Arial"/>
        </w:rPr>
        <w:t xml:space="preserve"> LHD for all underground mine operators and contractors. With ease of operability, superior </w:t>
      </w:r>
      <w:proofErr w:type="gramStart"/>
      <w:r w:rsidR="009D1C09" w:rsidRPr="009D1C09">
        <w:rPr>
          <w:rFonts w:ascii="Arial" w:hAnsi="Arial" w:cs="Arial"/>
        </w:rPr>
        <w:t>performance</w:t>
      </w:r>
      <w:proofErr w:type="gramEnd"/>
      <w:r w:rsidR="009D1C09" w:rsidRPr="009D1C09">
        <w:rPr>
          <w:rFonts w:ascii="Arial" w:hAnsi="Arial" w:cs="Arial"/>
        </w:rPr>
        <w:t xml:space="preserve"> and ground-level maintenance position, the WX11 </w:t>
      </w:r>
      <w:r w:rsidR="00D52849">
        <w:rPr>
          <w:rFonts w:ascii="Arial" w:hAnsi="Arial" w:cs="Arial"/>
        </w:rPr>
        <w:t>has several competitive edges in the 10-tonne LHD class</w:t>
      </w:r>
      <w:r w:rsidR="009D1C09" w:rsidRPr="009D1C09">
        <w:rPr>
          <w:rFonts w:ascii="Arial" w:hAnsi="Arial" w:cs="Arial"/>
        </w:rPr>
        <w:t>.</w:t>
      </w:r>
    </w:p>
    <w:p w14:paraId="234A4C12" w14:textId="37AAB18C" w:rsidR="009D1C09" w:rsidRPr="009D1C09" w:rsidRDefault="009D1C09" w:rsidP="009D1C09">
      <w:pPr>
        <w:rPr>
          <w:rFonts w:ascii="Arial" w:hAnsi="Arial" w:cs="Arial"/>
        </w:rPr>
      </w:pPr>
      <w:r w:rsidRPr="009D1C09">
        <w:rPr>
          <w:rFonts w:ascii="Arial" w:hAnsi="Arial" w:cs="Arial"/>
        </w:rPr>
        <w:t>Quick specs and features:</w:t>
      </w:r>
    </w:p>
    <w:p w14:paraId="74550250" w14:textId="40A75B34" w:rsidR="009D1C09" w:rsidRPr="009D1C09" w:rsidRDefault="009D1C09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>Horsepower: 280</w:t>
      </w:r>
      <w:r w:rsidR="00D52849">
        <w:rPr>
          <w:rFonts w:ascii="Arial" w:hAnsi="Arial" w:cs="Arial"/>
        </w:rPr>
        <w:t xml:space="preserve"> </w:t>
      </w:r>
      <w:r w:rsidRPr="009D1C09">
        <w:rPr>
          <w:rFonts w:ascii="Arial" w:hAnsi="Arial" w:cs="Arial"/>
        </w:rPr>
        <w:t>HP @ 2,000 rpm (209 kW @ 2,000 rpm)</w:t>
      </w:r>
    </w:p>
    <w:p w14:paraId="7C46A49B" w14:textId="77777777" w:rsidR="009D1C09" w:rsidRPr="009D1C09" w:rsidRDefault="009D1C09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>Operating weight: 77,750 lbs. (35,250 kg)</w:t>
      </w:r>
    </w:p>
    <w:p w14:paraId="73DCA113" w14:textId="4AA3EF70" w:rsidR="00EA4FE2" w:rsidRDefault="00EA4FE2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A4FE2">
        <w:rPr>
          <w:rFonts w:ascii="Arial" w:hAnsi="Arial" w:cs="Arial"/>
        </w:rPr>
        <w:t xml:space="preserve">Available </w:t>
      </w:r>
      <w:r w:rsidR="00EE1DDD">
        <w:rPr>
          <w:rFonts w:ascii="Arial" w:hAnsi="Arial" w:cs="Arial"/>
        </w:rPr>
        <w:t>e</w:t>
      </w:r>
      <w:r w:rsidRPr="00EA4FE2">
        <w:rPr>
          <w:rFonts w:ascii="Arial" w:hAnsi="Arial" w:cs="Arial"/>
        </w:rPr>
        <w:t xml:space="preserve">ngine </w:t>
      </w:r>
      <w:r w:rsidR="00EE1DDD">
        <w:rPr>
          <w:rFonts w:ascii="Arial" w:hAnsi="Arial" w:cs="Arial"/>
        </w:rPr>
        <w:t>c</w:t>
      </w:r>
      <w:r w:rsidRPr="00EA4FE2">
        <w:rPr>
          <w:rFonts w:ascii="Arial" w:hAnsi="Arial" w:cs="Arial"/>
        </w:rPr>
        <w:t xml:space="preserve">ertifications: </w:t>
      </w:r>
      <w:proofErr w:type="spellStart"/>
      <w:r w:rsidRPr="00EA4FE2">
        <w:rPr>
          <w:rFonts w:ascii="Arial" w:hAnsi="Arial" w:cs="Arial"/>
        </w:rPr>
        <w:t>Canmet</w:t>
      </w:r>
      <w:proofErr w:type="spellEnd"/>
      <w:r w:rsidRPr="00EA4FE2">
        <w:rPr>
          <w:rFonts w:ascii="Arial" w:hAnsi="Arial" w:cs="Arial"/>
        </w:rPr>
        <w:t>, MSHA, EPA Tier 3/EU Stage IIIA and EPA Tier 4F/EU Stage V</w:t>
      </w:r>
    </w:p>
    <w:p w14:paraId="0FB5C36A" w14:textId="04080CA8" w:rsidR="00D52849" w:rsidRPr="00D52849" w:rsidRDefault="00D52849" w:rsidP="00D5284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52849">
        <w:rPr>
          <w:rFonts w:ascii="Arial" w:hAnsi="Arial" w:cs="Arial"/>
        </w:rPr>
        <w:t xml:space="preserve">11-tonne size provides a </w:t>
      </w:r>
      <w:r w:rsidR="00E51194">
        <w:rPr>
          <w:rFonts w:ascii="Arial" w:hAnsi="Arial" w:cs="Arial"/>
        </w:rPr>
        <w:t>best-in-class</w:t>
      </w:r>
      <w:r w:rsidRPr="00D52849">
        <w:rPr>
          <w:rFonts w:ascii="Arial" w:hAnsi="Arial" w:cs="Arial"/>
        </w:rPr>
        <w:t xml:space="preserve"> payload boost (8-10% increase) above other machines in class</w:t>
      </w:r>
    </w:p>
    <w:p w14:paraId="76B9D8C7" w14:textId="72AFF856" w:rsidR="009D1C09" w:rsidRDefault="00D52849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52849">
        <w:rPr>
          <w:rFonts w:ascii="Arial" w:hAnsi="Arial" w:cs="Arial"/>
        </w:rPr>
        <w:t xml:space="preserve">New size provides </w:t>
      </w:r>
      <w:r w:rsidR="00E51194">
        <w:rPr>
          <w:rFonts w:ascii="Arial" w:hAnsi="Arial" w:cs="Arial"/>
        </w:rPr>
        <w:t>best-in-class</w:t>
      </w:r>
      <w:r w:rsidRPr="00D52849">
        <w:rPr>
          <w:rFonts w:ascii="Arial" w:hAnsi="Arial" w:cs="Arial"/>
        </w:rPr>
        <w:t xml:space="preserve"> breakout force </w:t>
      </w:r>
      <w:r w:rsidR="00E51194">
        <w:rPr>
          <w:rFonts w:ascii="Arial" w:hAnsi="Arial" w:cs="Arial"/>
        </w:rPr>
        <w:t>and o</w:t>
      </w:r>
      <w:r>
        <w:rPr>
          <w:rFonts w:ascii="Arial" w:hAnsi="Arial" w:cs="Arial"/>
        </w:rPr>
        <w:t>utstanding</w:t>
      </w:r>
      <w:r w:rsidR="009D1C09" w:rsidRPr="009D1C09">
        <w:rPr>
          <w:rFonts w:ascii="Arial" w:hAnsi="Arial" w:cs="Arial"/>
        </w:rPr>
        <w:t xml:space="preserve"> operator visibility</w:t>
      </w:r>
    </w:p>
    <w:p w14:paraId="52BE39EF" w14:textId="23D3F6E4" w:rsidR="009D1C09" w:rsidRPr="009D1C09" w:rsidRDefault="009D1C09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 xml:space="preserve">Adjustable </w:t>
      </w:r>
      <w:r w:rsidR="00134898">
        <w:rPr>
          <w:rFonts w:ascii="Arial" w:hAnsi="Arial" w:cs="Arial"/>
        </w:rPr>
        <w:t>r</w:t>
      </w:r>
      <w:r w:rsidRPr="009D1C09">
        <w:rPr>
          <w:rFonts w:ascii="Arial" w:hAnsi="Arial" w:cs="Arial"/>
        </w:rPr>
        <w:t>ide</w:t>
      </w:r>
      <w:r w:rsidR="008D2BF5">
        <w:rPr>
          <w:rFonts w:ascii="Arial" w:hAnsi="Arial" w:cs="Arial"/>
        </w:rPr>
        <w:t xml:space="preserve"> </w:t>
      </w:r>
      <w:r w:rsidR="00134898">
        <w:rPr>
          <w:rFonts w:ascii="Arial" w:hAnsi="Arial" w:cs="Arial"/>
        </w:rPr>
        <w:t>c</w:t>
      </w:r>
      <w:r w:rsidRPr="009D1C09">
        <w:rPr>
          <w:rFonts w:ascii="Arial" w:hAnsi="Arial" w:cs="Arial"/>
        </w:rPr>
        <w:t>ontrol</w:t>
      </w:r>
    </w:p>
    <w:p w14:paraId="7C707F0C" w14:textId="7E4A6C3F" w:rsidR="009D1C09" w:rsidRDefault="009D1C09" w:rsidP="009D1C0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 xml:space="preserve">Onboard </w:t>
      </w:r>
      <w:r w:rsidR="00134898">
        <w:rPr>
          <w:rFonts w:ascii="Arial" w:hAnsi="Arial" w:cs="Arial"/>
        </w:rPr>
        <w:t>t</w:t>
      </w:r>
      <w:r w:rsidRPr="009D1C09">
        <w:rPr>
          <w:rFonts w:ascii="Arial" w:hAnsi="Arial" w:cs="Arial"/>
        </w:rPr>
        <w:t>elemetry</w:t>
      </w:r>
    </w:p>
    <w:p w14:paraId="4343BBBC" w14:textId="77777777" w:rsidR="00D2182C" w:rsidRDefault="00D2182C" w:rsidP="009D1C09">
      <w:pPr>
        <w:rPr>
          <w:rFonts w:ascii="Arial" w:hAnsi="Arial" w:cs="Arial"/>
        </w:rPr>
      </w:pPr>
    </w:p>
    <w:p w14:paraId="1CAACA22" w14:textId="31EBEF2F" w:rsidR="009D1C09" w:rsidRPr="009D1C09" w:rsidRDefault="009D1C09" w:rsidP="009D1C09">
      <w:pPr>
        <w:rPr>
          <w:rFonts w:ascii="Arial" w:hAnsi="Arial" w:cs="Arial"/>
        </w:rPr>
      </w:pPr>
      <w:r w:rsidRPr="009D1C09">
        <w:rPr>
          <w:rFonts w:ascii="Arial" w:hAnsi="Arial" w:cs="Arial"/>
        </w:rPr>
        <w:t>The WX11 hosts many additional features specific to the platform:</w:t>
      </w:r>
    </w:p>
    <w:p w14:paraId="5F19371E" w14:textId="654480AE" w:rsidR="009D1C09" w:rsidRPr="009D1C09" w:rsidRDefault="009D1C09" w:rsidP="009D1C0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 xml:space="preserve">New heavy-duty </w:t>
      </w:r>
      <w:r w:rsidR="00134898">
        <w:rPr>
          <w:rFonts w:ascii="Arial" w:hAnsi="Arial" w:cs="Arial"/>
        </w:rPr>
        <w:t>h</w:t>
      </w:r>
      <w:r w:rsidRPr="009D1C09">
        <w:rPr>
          <w:rFonts w:ascii="Arial" w:hAnsi="Arial" w:cs="Arial"/>
        </w:rPr>
        <w:t xml:space="preserve">ard </w:t>
      </w:r>
      <w:r w:rsidR="00134898">
        <w:rPr>
          <w:rFonts w:ascii="Arial" w:hAnsi="Arial" w:cs="Arial"/>
        </w:rPr>
        <w:t>r</w:t>
      </w:r>
      <w:r w:rsidRPr="009D1C09">
        <w:rPr>
          <w:rFonts w:ascii="Arial" w:hAnsi="Arial" w:cs="Arial"/>
        </w:rPr>
        <w:t>ock Komatsu axles with SAHR brakes</w:t>
      </w:r>
    </w:p>
    <w:p w14:paraId="65645FA6" w14:textId="6E6188CA" w:rsidR="009D1C09" w:rsidRPr="009D1C09" w:rsidRDefault="009D1C09" w:rsidP="009D1C0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 xml:space="preserve">Komatsu cylinders </w:t>
      </w:r>
      <w:r w:rsidR="00A0642C">
        <w:rPr>
          <w:rFonts w:ascii="Arial" w:hAnsi="Arial" w:cs="Arial"/>
        </w:rPr>
        <w:t>and</w:t>
      </w:r>
      <w:r w:rsidRPr="009D1C09">
        <w:rPr>
          <w:rFonts w:ascii="Arial" w:hAnsi="Arial" w:cs="Arial"/>
        </w:rPr>
        <w:t xml:space="preserve"> accumulators</w:t>
      </w:r>
    </w:p>
    <w:p w14:paraId="56B656C5" w14:textId="77777777" w:rsidR="009D1C09" w:rsidRPr="009D1C09" w:rsidRDefault="009D1C09" w:rsidP="009D1C0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lastRenderedPageBreak/>
        <w:t>Swing-out radiator fan assemblies to support quick washdowns</w:t>
      </w:r>
    </w:p>
    <w:p w14:paraId="2C2B99E3" w14:textId="77777777" w:rsidR="009D1C09" w:rsidRPr="009D1C09" w:rsidRDefault="009D1C09" w:rsidP="009D1C0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>Optimized kinematics for superior breakout and tilt force</w:t>
      </w:r>
    </w:p>
    <w:p w14:paraId="47B5D51A" w14:textId="7136A3D4" w:rsidR="009D1C09" w:rsidRDefault="009D1C09" w:rsidP="009D1C0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D1C09">
        <w:rPr>
          <w:rFonts w:ascii="Arial" w:hAnsi="Arial" w:cs="Arial"/>
        </w:rPr>
        <w:t>All</w:t>
      </w:r>
      <w:r w:rsidR="00A0642C">
        <w:rPr>
          <w:rFonts w:ascii="Arial" w:hAnsi="Arial" w:cs="Arial"/>
        </w:rPr>
        <w:t>-</w:t>
      </w:r>
      <w:r w:rsidRPr="009D1C09">
        <w:rPr>
          <w:rFonts w:ascii="Arial" w:hAnsi="Arial" w:cs="Arial"/>
        </w:rPr>
        <w:t>new engineered structures to support the additional 10% payload capacity</w:t>
      </w:r>
    </w:p>
    <w:p w14:paraId="73FF62AE" w14:textId="77777777" w:rsidR="00D2182C" w:rsidRPr="00D2182C" w:rsidRDefault="00D2182C" w:rsidP="00D2182C">
      <w:pPr>
        <w:pStyle w:val="ListParagraph"/>
        <w:rPr>
          <w:rFonts w:ascii="Arial" w:hAnsi="Arial" w:cs="Arial"/>
        </w:rPr>
      </w:pPr>
    </w:p>
    <w:p w14:paraId="238CE9FA" w14:textId="6547E7BD" w:rsidR="0083238E" w:rsidRPr="004363E3" w:rsidRDefault="009D1C09" w:rsidP="009D1C09">
      <w:pPr>
        <w:rPr>
          <w:rFonts w:ascii="Arial" w:hAnsi="Arial" w:cs="Arial"/>
        </w:rPr>
      </w:pPr>
      <w:r w:rsidRPr="009D1C09">
        <w:rPr>
          <w:rFonts w:ascii="Arial" w:hAnsi="Arial" w:cs="Arial"/>
        </w:rPr>
        <w:t>“The WX11 is a game</w:t>
      </w:r>
      <w:r w:rsidR="004A719D">
        <w:rPr>
          <w:rFonts w:ascii="Arial" w:hAnsi="Arial" w:cs="Arial"/>
        </w:rPr>
        <w:t xml:space="preserve"> </w:t>
      </w:r>
      <w:r w:rsidRPr="009D1C09">
        <w:rPr>
          <w:rFonts w:ascii="Arial" w:hAnsi="Arial" w:cs="Arial"/>
        </w:rPr>
        <w:t xml:space="preserve">changer for </w:t>
      </w:r>
      <w:r w:rsidR="006D3D68">
        <w:rPr>
          <w:rFonts w:ascii="Arial" w:hAnsi="Arial" w:cs="Arial"/>
        </w:rPr>
        <w:t>h</w:t>
      </w:r>
      <w:r w:rsidRPr="009D1C09">
        <w:rPr>
          <w:rFonts w:ascii="Arial" w:hAnsi="Arial" w:cs="Arial"/>
        </w:rPr>
        <w:t xml:space="preserve">ard </w:t>
      </w:r>
      <w:r w:rsidR="006D3D68">
        <w:rPr>
          <w:rFonts w:ascii="Arial" w:hAnsi="Arial" w:cs="Arial"/>
        </w:rPr>
        <w:t>r</w:t>
      </w:r>
      <w:r w:rsidRPr="009D1C09">
        <w:rPr>
          <w:rFonts w:ascii="Arial" w:hAnsi="Arial" w:cs="Arial"/>
        </w:rPr>
        <w:t>ock miners.</w:t>
      </w:r>
      <w:r w:rsidR="001830D2" w:rsidRPr="001830D2">
        <w:t xml:space="preserve"> </w:t>
      </w:r>
      <w:r w:rsidR="00701E83" w:rsidRPr="00701E83">
        <w:t xml:space="preserve">Developed through a close partnership between our experienced team and </w:t>
      </w:r>
      <w:r w:rsidR="00701E83">
        <w:t xml:space="preserve">our </w:t>
      </w:r>
      <w:r w:rsidR="006F4107">
        <w:t>longt</w:t>
      </w:r>
      <w:r w:rsidR="009372BF">
        <w:t>i</w:t>
      </w:r>
      <w:r w:rsidR="006F4107">
        <w:t>me</w:t>
      </w:r>
      <w:r w:rsidR="00701E83" w:rsidRPr="00701E83">
        <w:t xml:space="preserve"> customers, this product reflects a shared commitment to </w:t>
      </w:r>
      <w:r w:rsidR="003B7AA7">
        <w:t>design excellence</w:t>
      </w:r>
      <w:r w:rsidR="00701E83">
        <w:t xml:space="preserve">,” </w:t>
      </w:r>
      <w:r w:rsidR="00701E83" w:rsidRPr="009D1C09">
        <w:rPr>
          <w:rFonts w:ascii="Arial" w:hAnsi="Arial" w:cs="Arial"/>
        </w:rPr>
        <w:t xml:space="preserve">said Ryan Karns, Director of LHD </w:t>
      </w:r>
      <w:r w:rsidR="00701E83">
        <w:rPr>
          <w:rFonts w:ascii="Arial" w:hAnsi="Arial" w:cs="Arial"/>
        </w:rPr>
        <w:t>and</w:t>
      </w:r>
      <w:r w:rsidR="00701E83" w:rsidRPr="009D1C09">
        <w:rPr>
          <w:rFonts w:ascii="Arial" w:hAnsi="Arial" w:cs="Arial"/>
        </w:rPr>
        <w:t xml:space="preserve"> Truck Products at Komatsu.</w:t>
      </w:r>
      <w:r w:rsidR="00701E83">
        <w:rPr>
          <w:rFonts w:ascii="Arial" w:hAnsi="Arial" w:cs="Arial"/>
        </w:rPr>
        <w:t xml:space="preserve"> “</w:t>
      </w:r>
      <w:r w:rsidR="00EC4207">
        <w:rPr>
          <w:rFonts w:ascii="Arial" w:hAnsi="Arial" w:cs="Arial"/>
        </w:rPr>
        <w:t>T</w:t>
      </w:r>
      <w:r w:rsidRPr="009D1C09">
        <w:rPr>
          <w:rFonts w:ascii="Arial" w:hAnsi="Arial" w:cs="Arial"/>
        </w:rPr>
        <w:t xml:space="preserve">he WX11 is the LHD every miner will </w:t>
      </w:r>
      <w:r w:rsidR="00D70E05">
        <w:rPr>
          <w:rFonts w:ascii="Arial" w:hAnsi="Arial" w:cs="Arial"/>
        </w:rPr>
        <w:t>want to have</w:t>
      </w:r>
      <w:r w:rsidRPr="009D1C09">
        <w:rPr>
          <w:rFonts w:ascii="Arial" w:hAnsi="Arial" w:cs="Arial"/>
        </w:rPr>
        <w:t xml:space="preserve"> in their operation</w:t>
      </w:r>
      <w:r w:rsidR="00CE5747">
        <w:rPr>
          <w:rFonts w:ascii="Arial" w:hAnsi="Arial" w:cs="Arial"/>
        </w:rPr>
        <w:t>.</w:t>
      </w:r>
      <w:r w:rsidR="00701E83">
        <w:rPr>
          <w:rFonts w:ascii="Arial" w:hAnsi="Arial" w:cs="Arial"/>
        </w:rPr>
        <w:t>”</w:t>
      </w:r>
      <w:r w:rsidRPr="009D1C09">
        <w:rPr>
          <w:rFonts w:ascii="Arial" w:hAnsi="Arial" w:cs="Arial"/>
        </w:rPr>
        <w:t xml:space="preserve"> </w:t>
      </w:r>
    </w:p>
    <w:p w14:paraId="6FF8EA0B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</w:t>
      </w:r>
      <w:proofErr w:type="gramStart"/>
      <w:r w:rsidRPr="008E58D2">
        <w:rPr>
          <w:rFonts w:ascii="Arial" w:hAnsi="Arial" w:cs="Arial"/>
        </w:rPr>
        <w:t>forests</w:t>
      </w:r>
      <w:proofErr w:type="gramEnd"/>
      <w:r w:rsidRPr="008E58D2">
        <w:rPr>
          <w:rFonts w:ascii="Arial" w:hAnsi="Arial" w:cs="Arial"/>
        </w:rPr>
        <w:t xml:space="preserve">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3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7659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E29"/>
    <w:multiLevelType w:val="hybridMultilevel"/>
    <w:tmpl w:val="30A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C79"/>
    <w:multiLevelType w:val="hybridMultilevel"/>
    <w:tmpl w:val="0FBE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8"/>
  </w:num>
  <w:num w:numId="2" w16cid:durableId="1437600001">
    <w:abstractNumId w:val="8"/>
  </w:num>
  <w:num w:numId="3" w16cid:durableId="475731482">
    <w:abstractNumId w:val="4"/>
  </w:num>
  <w:num w:numId="4" w16cid:durableId="1808160971">
    <w:abstractNumId w:val="9"/>
  </w:num>
  <w:num w:numId="5" w16cid:durableId="318929404">
    <w:abstractNumId w:val="7"/>
  </w:num>
  <w:num w:numId="6" w16cid:durableId="1105885739">
    <w:abstractNumId w:val="14"/>
  </w:num>
  <w:num w:numId="7" w16cid:durableId="385956421">
    <w:abstractNumId w:val="17"/>
  </w:num>
  <w:num w:numId="8" w16cid:durableId="68386651">
    <w:abstractNumId w:val="21"/>
  </w:num>
  <w:num w:numId="9" w16cid:durableId="2047558885">
    <w:abstractNumId w:val="10"/>
  </w:num>
  <w:num w:numId="10" w16cid:durableId="1359117006">
    <w:abstractNumId w:val="6"/>
  </w:num>
  <w:num w:numId="11" w16cid:durableId="1247154086">
    <w:abstractNumId w:val="11"/>
  </w:num>
  <w:num w:numId="12" w16cid:durableId="1260719437">
    <w:abstractNumId w:val="15"/>
  </w:num>
  <w:num w:numId="13" w16cid:durableId="1028021723">
    <w:abstractNumId w:val="23"/>
  </w:num>
  <w:num w:numId="14" w16cid:durableId="370152790">
    <w:abstractNumId w:val="19"/>
  </w:num>
  <w:num w:numId="15" w16cid:durableId="785084679">
    <w:abstractNumId w:val="2"/>
  </w:num>
  <w:num w:numId="16" w16cid:durableId="910895382">
    <w:abstractNumId w:val="16"/>
  </w:num>
  <w:num w:numId="17" w16cid:durableId="1546599815">
    <w:abstractNumId w:val="3"/>
  </w:num>
  <w:num w:numId="18" w16cid:durableId="1997297535">
    <w:abstractNumId w:val="18"/>
  </w:num>
  <w:num w:numId="19" w16cid:durableId="936213496">
    <w:abstractNumId w:val="20"/>
  </w:num>
  <w:num w:numId="20" w16cid:durableId="428505495">
    <w:abstractNumId w:val="22"/>
  </w:num>
  <w:num w:numId="21" w16cid:durableId="1762485765">
    <w:abstractNumId w:val="0"/>
  </w:num>
  <w:num w:numId="22" w16cid:durableId="2060546707">
    <w:abstractNumId w:val="5"/>
  </w:num>
  <w:num w:numId="23" w16cid:durableId="1079640876">
    <w:abstractNumId w:val="13"/>
  </w:num>
  <w:num w:numId="24" w16cid:durableId="1865635263">
    <w:abstractNumId w:val="12"/>
  </w:num>
  <w:num w:numId="25" w16cid:durableId="118995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073DC"/>
    <w:rsid w:val="000207D8"/>
    <w:rsid w:val="00027E31"/>
    <w:rsid w:val="00037131"/>
    <w:rsid w:val="00044C28"/>
    <w:rsid w:val="00054D32"/>
    <w:rsid w:val="0005510A"/>
    <w:rsid w:val="000614AA"/>
    <w:rsid w:val="00065C1E"/>
    <w:rsid w:val="000700C7"/>
    <w:rsid w:val="00070BD9"/>
    <w:rsid w:val="00077782"/>
    <w:rsid w:val="00081A30"/>
    <w:rsid w:val="000827DF"/>
    <w:rsid w:val="0009570B"/>
    <w:rsid w:val="00097ACD"/>
    <w:rsid w:val="000A1B9A"/>
    <w:rsid w:val="000A5E43"/>
    <w:rsid w:val="000C54AD"/>
    <w:rsid w:val="000C5EA5"/>
    <w:rsid w:val="000D0984"/>
    <w:rsid w:val="000D1B5A"/>
    <w:rsid w:val="000D3C39"/>
    <w:rsid w:val="000E145A"/>
    <w:rsid w:val="000E6014"/>
    <w:rsid w:val="000E6ECF"/>
    <w:rsid w:val="000F027F"/>
    <w:rsid w:val="000F0E27"/>
    <w:rsid w:val="000F2066"/>
    <w:rsid w:val="000F4904"/>
    <w:rsid w:val="0010163E"/>
    <w:rsid w:val="0010233D"/>
    <w:rsid w:val="00106379"/>
    <w:rsid w:val="00107C37"/>
    <w:rsid w:val="00115F6F"/>
    <w:rsid w:val="0012034B"/>
    <w:rsid w:val="0012199E"/>
    <w:rsid w:val="0012469A"/>
    <w:rsid w:val="00127AB7"/>
    <w:rsid w:val="001300AB"/>
    <w:rsid w:val="0013013A"/>
    <w:rsid w:val="00134898"/>
    <w:rsid w:val="0013682A"/>
    <w:rsid w:val="00152B84"/>
    <w:rsid w:val="00172515"/>
    <w:rsid w:val="00172F1D"/>
    <w:rsid w:val="00174ADC"/>
    <w:rsid w:val="001830D2"/>
    <w:rsid w:val="001844FA"/>
    <w:rsid w:val="00191994"/>
    <w:rsid w:val="00193708"/>
    <w:rsid w:val="001973BB"/>
    <w:rsid w:val="00197FC4"/>
    <w:rsid w:val="001A5488"/>
    <w:rsid w:val="001A7E38"/>
    <w:rsid w:val="001B1DE3"/>
    <w:rsid w:val="001C2781"/>
    <w:rsid w:val="001C2963"/>
    <w:rsid w:val="001C6AE4"/>
    <w:rsid w:val="001D2E6D"/>
    <w:rsid w:val="001E2DCF"/>
    <w:rsid w:val="001E35F8"/>
    <w:rsid w:val="001E6C1B"/>
    <w:rsid w:val="001F3BC7"/>
    <w:rsid w:val="001F6970"/>
    <w:rsid w:val="001F6EBA"/>
    <w:rsid w:val="002035BF"/>
    <w:rsid w:val="00212DF5"/>
    <w:rsid w:val="00216547"/>
    <w:rsid w:val="00224704"/>
    <w:rsid w:val="00231132"/>
    <w:rsid w:val="002329F0"/>
    <w:rsid w:val="00236674"/>
    <w:rsid w:val="00237BBB"/>
    <w:rsid w:val="00245AD2"/>
    <w:rsid w:val="00246116"/>
    <w:rsid w:val="00266796"/>
    <w:rsid w:val="00271CF8"/>
    <w:rsid w:val="0027294D"/>
    <w:rsid w:val="0028229A"/>
    <w:rsid w:val="00284FFC"/>
    <w:rsid w:val="00296B7A"/>
    <w:rsid w:val="002B39C8"/>
    <w:rsid w:val="002C4B49"/>
    <w:rsid w:val="002C7BB6"/>
    <w:rsid w:val="002D0D42"/>
    <w:rsid w:val="002D1320"/>
    <w:rsid w:val="002D4AEC"/>
    <w:rsid w:val="002E1193"/>
    <w:rsid w:val="002E18B5"/>
    <w:rsid w:val="002E46C8"/>
    <w:rsid w:val="002F009D"/>
    <w:rsid w:val="002F2DFA"/>
    <w:rsid w:val="002F5AFE"/>
    <w:rsid w:val="002F7101"/>
    <w:rsid w:val="00302114"/>
    <w:rsid w:val="003033E5"/>
    <w:rsid w:val="003047CB"/>
    <w:rsid w:val="00307DED"/>
    <w:rsid w:val="00310B51"/>
    <w:rsid w:val="003247FD"/>
    <w:rsid w:val="00331D51"/>
    <w:rsid w:val="00333AA5"/>
    <w:rsid w:val="00334822"/>
    <w:rsid w:val="00350C73"/>
    <w:rsid w:val="00351051"/>
    <w:rsid w:val="00351EF9"/>
    <w:rsid w:val="00352040"/>
    <w:rsid w:val="0037389D"/>
    <w:rsid w:val="003765A0"/>
    <w:rsid w:val="00386120"/>
    <w:rsid w:val="00387C9F"/>
    <w:rsid w:val="00387F07"/>
    <w:rsid w:val="003A6441"/>
    <w:rsid w:val="003B4310"/>
    <w:rsid w:val="003B5D7F"/>
    <w:rsid w:val="003B7AA7"/>
    <w:rsid w:val="003D4C01"/>
    <w:rsid w:val="003D50EB"/>
    <w:rsid w:val="003E0C3D"/>
    <w:rsid w:val="003E7CE7"/>
    <w:rsid w:val="003F7AA2"/>
    <w:rsid w:val="00400435"/>
    <w:rsid w:val="00405F38"/>
    <w:rsid w:val="004363E3"/>
    <w:rsid w:val="00456887"/>
    <w:rsid w:val="004604B9"/>
    <w:rsid w:val="00465978"/>
    <w:rsid w:val="004678C6"/>
    <w:rsid w:val="004721CA"/>
    <w:rsid w:val="00477664"/>
    <w:rsid w:val="00484F74"/>
    <w:rsid w:val="00485EF7"/>
    <w:rsid w:val="00494CCD"/>
    <w:rsid w:val="004A4AA8"/>
    <w:rsid w:val="004A634B"/>
    <w:rsid w:val="004A719D"/>
    <w:rsid w:val="004C16D0"/>
    <w:rsid w:val="004C2652"/>
    <w:rsid w:val="004C7BDC"/>
    <w:rsid w:val="004C7FBD"/>
    <w:rsid w:val="004D4E77"/>
    <w:rsid w:val="004F071D"/>
    <w:rsid w:val="004F124F"/>
    <w:rsid w:val="004F181D"/>
    <w:rsid w:val="00501306"/>
    <w:rsid w:val="00502B7A"/>
    <w:rsid w:val="005047A5"/>
    <w:rsid w:val="00505D9B"/>
    <w:rsid w:val="0051070F"/>
    <w:rsid w:val="00510EEB"/>
    <w:rsid w:val="0051428E"/>
    <w:rsid w:val="005202A0"/>
    <w:rsid w:val="005307B1"/>
    <w:rsid w:val="00533171"/>
    <w:rsid w:val="0054296F"/>
    <w:rsid w:val="0055505B"/>
    <w:rsid w:val="00570B70"/>
    <w:rsid w:val="005737F0"/>
    <w:rsid w:val="005A1520"/>
    <w:rsid w:val="005A3CEE"/>
    <w:rsid w:val="005B5047"/>
    <w:rsid w:val="005C1C17"/>
    <w:rsid w:val="005C222B"/>
    <w:rsid w:val="005C2FA5"/>
    <w:rsid w:val="005C49BA"/>
    <w:rsid w:val="005C7546"/>
    <w:rsid w:val="005D276B"/>
    <w:rsid w:val="005D35E1"/>
    <w:rsid w:val="005E1347"/>
    <w:rsid w:val="005E3849"/>
    <w:rsid w:val="005E773E"/>
    <w:rsid w:val="00600678"/>
    <w:rsid w:val="00604F49"/>
    <w:rsid w:val="00605E2D"/>
    <w:rsid w:val="00607A32"/>
    <w:rsid w:val="006138A2"/>
    <w:rsid w:val="00634210"/>
    <w:rsid w:val="00644120"/>
    <w:rsid w:val="006478CD"/>
    <w:rsid w:val="00651096"/>
    <w:rsid w:val="00652ECF"/>
    <w:rsid w:val="0065340D"/>
    <w:rsid w:val="006557FA"/>
    <w:rsid w:val="00663D93"/>
    <w:rsid w:val="006660C4"/>
    <w:rsid w:val="00686CC0"/>
    <w:rsid w:val="006903D2"/>
    <w:rsid w:val="00690A46"/>
    <w:rsid w:val="006A3F56"/>
    <w:rsid w:val="006A77D3"/>
    <w:rsid w:val="006B1207"/>
    <w:rsid w:val="006D3073"/>
    <w:rsid w:val="006D3D68"/>
    <w:rsid w:val="006F4107"/>
    <w:rsid w:val="006F7923"/>
    <w:rsid w:val="00701E83"/>
    <w:rsid w:val="007053DA"/>
    <w:rsid w:val="00707E21"/>
    <w:rsid w:val="0071094A"/>
    <w:rsid w:val="007120E8"/>
    <w:rsid w:val="00715D4A"/>
    <w:rsid w:val="0071719C"/>
    <w:rsid w:val="0072092E"/>
    <w:rsid w:val="007263EC"/>
    <w:rsid w:val="007279FC"/>
    <w:rsid w:val="007314BF"/>
    <w:rsid w:val="00732EF3"/>
    <w:rsid w:val="00735684"/>
    <w:rsid w:val="00737DE3"/>
    <w:rsid w:val="00737E59"/>
    <w:rsid w:val="00740609"/>
    <w:rsid w:val="007441DC"/>
    <w:rsid w:val="00751737"/>
    <w:rsid w:val="0075202A"/>
    <w:rsid w:val="0075237B"/>
    <w:rsid w:val="00752BDA"/>
    <w:rsid w:val="0075439B"/>
    <w:rsid w:val="00755A74"/>
    <w:rsid w:val="0075767D"/>
    <w:rsid w:val="00764590"/>
    <w:rsid w:val="00765936"/>
    <w:rsid w:val="00772BE2"/>
    <w:rsid w:val="00774C87"/>
    <w:rsid w:val="00776F90"/>
    <w:rsid w:val="007814E3"/>
    <w:rsid w:val="00781A68"/>
    <w:rsid w:val="007847E7"/>
    <w:rsid w:val="00785CE1"/>
    <w:rsid w:val="00793532"/>
    <w:rsid w:val="007953B2"/>
    <w:rsid w:val="007A5103"/>
    <w:rsid w:val="007A5777"/>
    <w:rsid w:val="007C3E06"/>
    <w:rsid w:val="007D0DCB"/>
    <w:rsid w:val="007D56D3"/>
    <w:rsid w:val="007E5065"/>
    <w:rsid w:val="007F44D1"/>
    <w:rsid w:val="007F5CB9"/>
    <w:rsid w:val="00802663"/>
    <w:rsid w:val="00803DA8"/>
    <w:rsid w:val="008042A7"/>
    <w:rsid w:val="0080480D"/>
    <w:rsid w:val="00806089"/>
    <w:rsid w:val="00806D87"/>
    <w:rsid w:val="00815F57"/>
    <w:rsid w:val="00821E63"/>
    <w:rsid w:val="00822B19"/>
    <w:rsid w:val="00823F24"/>
    <w:rsid w:val="0083016B"/>
    <w:rsid w:val="0083238E"/>
    <w:rsid w:val="00834D65"/>
    <w:rsid w:val="00841EE8"/>
    <w:rsid w:val="0085505E"/>
    <w:rsid w:val="008565FB"/>
    <w:rsid w:val="008717D5"/>
    <w:rsid w:val="0087407C"/>
    <w:rsid w:val="008751FD"/>
    <w:rsid w:val="00876207"/>
    <w:rsid w:val="00885CA2"/>
    <w:rsid w:val="00891DE8"/>
    <w:rsid w:val="00892B45"/>
    <w:rsid w:val="0089378C"/>
    <w:rsid w:val="00894941"/>
    <w:rsid w:val="008A1047"/>
    <w:rsid w:val="008A2347"/>
    <w:rsid w:val="008A3F75"/>
    <w:rsid w:val="008A7E27"/>
    <w:rsid w:val="008B01F3"/>
    <w:rsid w:val="008B5A06"/>
    <w:rsid w:val="008C5768"/>
    <w:rsid w:val="008D2BF5"/>
    <w:rsid w:val="008D36BA"/>
    <w:rsid w:val="008E12B5"/>
    <w:rsid w:val="008E2A53"/>
    <w:rsid w:val="008E58D2"/>
    <w:rsid w:val="00902476"/>
    <w:rsid w:val="00911DD4"/>
    <w:rsid w:val="00911F79"/>
    <w:rsid w:val="00920105"/>
    <w:rsid w:val="00932A75"/>
    <w:rsid w:val="009372BF"/>
    <w:rsid w:val="009430BB"/>
    <w:rsid w:val="009515E3"/>
    <w:rsid w:val="00952664"/>
    <w:rsid w:val="00960574"/>
    <w:rsid w:val="009678D6"/>
    <w:rsid w:val="00970158"/>
    <w:rsid w:val="00972D15"/>
    <w:rsid w:val="00972FFC"/>
    <w:rsid w:val="00975CBF"/>
    <w:rsid w:val="009851EE"/>
    <w:rsid w:val="009971BD"/>
    <w:rsid w:val="0099737C"/>
    <w:rsid w:val="009B330F"/>
    <w:rsid w:val="009B409C"/>
    <w:rsid w:val="009B49E7"/>
    <w:rsid w:val="009D1C09"/>
    <w:rsid w:val="009D30F9"/>
    <w:rsid w:val="009E1540"/>
    <w:rsid w:val="009F56AB"/>
    <w:rsid w:val="00A0642C"/>
    <w:rsid w:val="00A25711"/>
    <w:rsid w:val="00A40BB4"/>
    <w:rsid w:val="00A41A10"/>
    <w:rsid w:val="00A42085"/>
    <w:rsid w:val="00A46E45"/>
    <w:rsid w:val="00A47C64"/>
    <w:rsid w:val="00A626F5"/>
    <w:rsid w:val="00A66272"/>
    <w:rsid w:val="00A67176"/>
    <w:rsid w:val="00A67559"/>
    <w:rsid w:val="00A7303D"/>
    <w:rsid w:val="00A7707A"/>
    <w:rsid w:val="00A90785"/>
    <w:rsid w:val="00A951B5"/>
    <w:rsid w:val="00AA1393"/>
    <w:rsid w:val="00AB0D3E"/>
    <w:rsid w:val="00AC424B"/>
    <w:rsid w:val="00AD0DD4"/>
    <w:rsid w:val="00AD1B74"/>
    <w:rsid w:val="00AD6945"/>
    <w:rsid w:val="00AE064E"/>
    <w:rsid w:val="00AE283B"/>
    <w:rsid w:val="00AE6527"/>
    <w:rsid w:val="00AE73A6"/>
    <w:rsid w:val="00AF205D"/>
    <w:rsid w:val="00AF6187"/>
    <w:rsid w:val="00B00C7A"/>
    <w:rsid w:val="00B0696C"/>
    <w:rsid w:val="00B1243D"/>
    <w:rsid w:val="00B20D9A"/>
    <w:rsid w:val="00B2115C"/>
    <w:rsid w:val="00B24420"/>
    <w:rsid w:val="00B44DBF"/>
    <w:rsid w:val="00B45104"/>
    <w:rsid w:val="00B60C39"/>
    <w:rsid w:val="00B66AFC"/>
    <w:rsid w:val="00B738C7"/>
    <w:rsid w:val="00B7703A"/>
    <w:rsid w:val="00B77447"/>
    <w:rsid w:val="00B8038D"/>
    <w:rsid w:val="00B83C30"/>
    <w:rsid w:val="00BA18BA"/>
    <w:rsid w:val="00BA30B3"/>
    <w:rsid w:val="00BB2020"/>
    <w:rsid w:val="00BB4456"/>
    <w:rsid w:val="00BB74D0"/>
    <w:rsid w:val="00BC7016"/>
    <w:rsid w:val="00BD307A"/>
    <w:rsid w:val="00BD4655"/>
    <w:rsid w:val="00BD5E07"/>
    <w:rsid w:val="00BD66C2"/>
    <w:rsid w:val="00BD75F3"/>
    <w:rsid w:val="00BE093C"/>
    <w:rsid w:val="00BF1BF3"/>
    <w:rsid w:val="00BF1F3E"/>
    <w:rsid w:val="00BF53C2"/>
    <w:rsid w:val="00C047C7"/>
    <w:rsid w:val="00C23BF7"/>
    <w:rsid w:val="00C24597"/>
    <w:rsid w:val="00C261B8"/>
    <w:rsid w:val="00C3063B"/>
    <w:rsid w:val="00C33454"/>
    <w:rsid w:val="00C40D48"/>
    <w:rsid w:val="00C433FC"/>
    <w:rsid w:val="00C45368"/>
    <w:rsid w:val="00C51E4F"/>
    <w:rsid w:val="00C53D21"/>
    <w:rsid w:val="00C5699B"/>
    <w:rsid w:val="00C65AC7"/>
    <w:rsid w:val="00C65CB8"/>
    <w:rsid w:val="00C73ADC"/>
    <w:rsid w:val="00C73C81"/>
    <w:rsid w:val="00C74106"/>
    <w:rsid w:val="00C81563"/>
    <w:rsid w:val="00C91C71"/>
    <w:rsid w:val="00CA2934"/>
    <w:rsid w:val="00CA3CF8"/>
    <w:rsid w:val="00CA7A65"/>
    <w:rsid w:val="00CB3EF2"/>
    <w:rsid w:val="00CB593F"/>
    <w:rsid w:val="00CB6AB7"/>
    <w:rsid w:val="00CC13C3"/>
    <w:rsid w:val="00CC326F"/>
    <w:rsid w:val="00CC3311"/>
    <w:rsid w:val="00CC4A9D"/>
    <w:rsid w:val="00CC615A"/>
    <w:rsid w:val="00CE303C"/>
    <w:rsid w:val="00CE5747"/>
    <w:rsid w:val="00CE63B8"/>
    <w:rsid w:val="00CE6B95"/>
    <w:rsid w:val="00CF3B58"/>
    <w:rsid w:val="00CF4648"/>
    <w:rsid w:val="00D01202"/>
    <w:rsid w:val="00D036DF"/>
    <w:rsid w:val="00D037A6"/>
    <w:rsid w:val="00D07304"/>
    <w:rsid w:val="00D10741"/>
    <w:rsid w:val="00D12260"/>
    <w:rsid w:val="00D217AF"/>
    <w:rsid w:val="00D2182C"/>
    <w:rsid w:val="00D27B2A"/>
    <w:rsid w:val="00D308E4"/>
    <w:rsid w:val="00D4266F"/>
    <w:rsid w:val="00D4580A"/>
    <w:rsid w:val="00D47AE5"/>
    <w:rsid w:val="00D50CA3"/>
    <w:rsid w:val="00D52849"/>
    <w:rsid w:val="00D63B92"/>
    <w:rsid w:val="00D67FF6"/>
    <w:rsid w:val="00D70E05"/>
    <w:rsid w:val="00D76DB5"/>
    <w:rsid w:val="00D84A20"/>
    <w:rsid w:val="00D91E90"/>
    <w:rsid w:val="00DA1315"/>
    <w:rsid w:val="00DA5673"/>
    <w:rsid w:val="00DA6708"/>
    <w:rsid w:val="00DB226F"/>
    <w:rsid w:val="00DB409E"/>
    <w:rsid w:val="00DB767A"/>
    <w:rsid w:val="00DC118B"/>
    <w:rsid w:val="00DF2388"/>
    <w:rsid w:val="00E21597"/>
    <w:rsid w:val="00E242AF"/>
    <w:rsid w:val="00E2728A"/>
    <w:rsid w:val="00E43E82"/>
    <w:rsid w:val="00E45B0F"/>
    <w:rsid w:val="00E51194"/>
    <w:rsid w:val="00E62242"/>
    <w:rsid w:val="00E64259"/>
    <w:rsid w:val="00E645FA"/>
    <w:rsid w:val="00E71A93"/>
    <w:rsid w:val="00E7567A"/>
    <w:rsid w:val="00E8492F"/>
    <w:rsid w:val="00E92D9B"/>
    <w:rsid w:val="00E93D16"/>
    <w:rsid w:val="00E96B33"/>
    <w:rsid w:val="00EA0B06"/>
    <w:rsid w:val="00EA4FE2"/>
    <w:rsid w:val="00EA6B8C"/>
    <w:rsid w:val="00EA6EE1"/>
    <w:rsid w:val="00EB1FC0"/>
    <w:rsid w:val="00EB3D7D"/>
    <w:rsid w:val="00EB4490"/>
    <w:rsid w:val="00EB4FBB"/>
    <w:rsid w:val="00EB5AA2"/>
    <w:rsid w:val="00EC03C4"/>
    <w:rsid w:val="00EC244E"/>
    <w:rsid w:val="00EC2645"/>
    <w:rsid w:val="00EC4207"/>
    <w:rsid w:val="00ED216C"/>
    <w:rsid w:val="00ED71D8"/>
    <w:rsid w:val="00EE1DDD"/>
    <w:rsid w:val="00EE335F"/>
    <w:rsid w:val="00EF4A12"/>
    <w:rsid w:val="00EF5D3C"/>
    <w:rsid w:val="00F13349"/>
    <w:rsid w:val="00F13545"/>
    <w:rsid w:val="00F13679"/>
    <w:rsid w:val="00F1776C"/>
    <w:rsid w:val="00F20517"/>
    <w:rsid w:val="00F20D20"/>
    <w:rsid w:val="00F21121"/>
    <w:rsid w:val="00F2271E"/>
    <w:rsid w:val="00F30098"/>
    <w:rsid w:val="00F32E39"/>
    <w:rsid w:val="00F41548"/>
    <w:rsid w:val="00F43C77"/>
    <w:rsid w:val="00F471BE"/>
    <w:rsid w:val="00F56FC5"/>
    <w:rsid w:val="00F5797E"/>
    <w:rsid w:val="00F57A00"/>
    <w:rsid w:val="00F6742A"/>
    <w:rsid w:val="00F722AE"/>
    <w:rsid w:val="00F7608A"/>
    <w:rsid w:val="00F76BF1"/>
    <w:rsid w:val="00F966FC"/>
    <w:rsid w:val="00FB535E"/>
    <w:rsid w:val="00FC28B3"/>
    <w:rsid w:val="00FD1C8E"/>
    <w:rsid w:val="00FD5FBB"/>
    <w:rsid w:val="00FE048E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ats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atsu.com/products/underground-hard-rock-haulage/lhd/wx11/?utm_source=Komatsu&amp;utm_medium=PressRelease&amp;utm_campaign=WX11LH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hawn-laree.o&#8217;neil@global.komats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ll.rick@global.komat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Rick, Jill</cp:lastModifiedBy>
  <cp:revision>4</cp:revision>
  <cp:lastPrinted>2023-02-08T21:38:00Z</cp:lastPrinted>
  <dcterms:created xsi:type="dcterms:W3CDTF">2024-02-28T15:10:00Z</dcterms:created>
  <dcterms:modified xsi:type="dcterms:W3CDTF">2024-02-28T17:05:00Z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