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E6F0" w14:textId="58D8ECB4" w:rsidR="00456887" w:rsidRPr="008A1047" w:rsidRDefault="00456887" w:rsidP="00456887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8B7771" wp14:editId="14FD8F88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456887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FD5FBB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Pr="008A1047" w:rsidRDefault="001F6970" w:rsidP="00FD5FBB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04FEC7F6" w14:textId="77F2BCC2" w:rsidR="00F13349" w:rsidRDefault="000C54AD" w:rsidP="00B03A76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r w:rsidRPr="008A1047">
        <w:rPr>
          <w:rFonts w:cstheme="minorHAnsi"/>
        </w:rPr>
        <w:t>Media support:</w:t>
      </w:r>
    </w:p>
    <w:p w14:paraId="362BAE91" w14:textId="77777777" w:rsidR="00806089" w:rsidRDefault="00806089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r>
        <w:rPr>
          <w:rFonts w:cstheme="minorHAnsi"/>
        </w:rPr>
        <w:t>Jill Rick</w:t>
      </w:r>
    </w:p>
    <w:p w14:paraId="44D4BBC1" w14:textId="77777777" w:rsidR="00806089" w:rsidRDefault="00806089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r>
        <w:rPr>
          <w:rFonts w:cstheme="minorHAnsi"/>
        </w:rPr>
        <w:t>+1 262-337-0854</w:t>
      </w:r>
    </w:p>
    <w:p w14:paraId="3033B51A" w14:textId="77777777" w:rsidR="00806089" w:rsidRDefault="00094396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hyperlink r:id="rId11" w:history="1">
        <w:r w:rsidR="00806089" w:rsidRPr="00685302">
          <w:rPr>
            <w:rStyle w:val="Hyperlink"/>
            <w:rFonts w:cstheme="minorHAnsi"/>
          </w:rPr>
          <w:t>jill.rick@global.komatsu</w:t>
        </w:r>
      </w:hyperlink>
      <w:r w:rsidR="00806089">
        <w:rPr>
          <w:rFonts w:cstheme="minorHAnsi"/>
        </w:rPr>
        <w:t xml:space="preserve"> </w:t>
      </w:r>
    </w:p>
    <w:p w14:paraId="433056A7" w14:textId="77777777" w:rsidR="0080480D" w:rsidRPr="008A1047" w:rsidRDefault="0080480D" w:rsidP="000C54AD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2E6C4D4F" w14:textId="4B6C8243" w:rsidR="000C54AD" w:rsidRPr="008A1047" w:rsidRDefault="00DB767A" w:rsidP="000C54AD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r w:rsidRPr="008A1047">
        <w:rPr>
          <w:rFonts w:cstheme="minorHAnsi"/>
        </w:rPr>
        <w:t>Shawn-Laree O’Neil</w:t>
      </w:r>
    </w:p>
    <w:p w14:paraId="7876E0AA" w14:textId="47376C64" w:rsidR="000C54AD" w:rsidRDefault="000C54AD" w:rsidP="005B5047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r w:rsidRPr="008A1047">
        <w:rPr>
          <w:rFonts w:cstheme="minorHAnsi"/>
        </w:rPr>
        <w:t xml:space="preserve">+1 </w:t>
      </w:r>
      <w:r w:rsidR="005B5047">
        <w:rPr>
          <w:rFonts w:cstheme="minorHAnsi"/>
        </w:rPr>
        <w:t>773-802-0377</w:t>
      </w:r>
    </w:p>
    <w:p w14:paraId="344606EE" w14:textId="48B7E6A9" w:rsidR="005B5047" w:rsidRPr="008A1047" w:rsidRDefault="00094396" w:rsidP="005B5047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hyperlink r:id="rId12" w:history="1">
        <w:proofErr w:type="spellStart"/>
        <w:r w:rsidR="005B5047" w:rsidRPr="00C433FC">
          <w:rPr>
            <w:rStyle w:val="Hyperlink"/>
            <w:rFonts w:cstheme="minorHAnsi"/>
          </w:rPr>
          <w:t>shawn-</w:t>
        </w:r>
        <w:proofErr w:type="gramStart"/>
        <w:r w:rsidR="005B5047" w:rsidRPr="00C433FC">
          <w:rPr>
            <w:rStyle w:val="Hyperlink"/>
            <w:rFonts w:cstheme="minorHAnsi"/>
          </w:rPr>
          <w:t>laree.o’neil</w:t>
        </w:r>
        <w:proofErr w:type="gramEnd"/>
        <w:r w:rsidR="005B5047" w:rsidRPr="00C433FC">
          <w:rPr>
            <w:rStyle w:val="Hyperlink"/>
            <w:rFonts w:cstheme="minorHAnsi"/>
          </w:rPr>
          <w:t>@global.komatsu</w:t>
        </w:r>
        <w:proofErr w:type="spellEnd"/>
      </w:hyperlink>
    </w:p>
    <w:p w14:paraId="5E2E2CF1" w14:textId="77777777" w:rsidR="002D0D42" w:rsidRPr="00F13545" w:rsidRDefault="002D0D42" w:rsidP="00FD5FBB">
      <w:pPr>
        <w:jc w:val="right"/>
        <w:rPr>
          <w:rFonts w:cstheme="minorHAnsi"/>
          <w:b/>
          <w:iCs/>
          <w:sz w:val="28"/>
          <w:szCs w:val="28"/>
        </w:rPr>
      </w:pPr>
    </w:p>
    <w:p w14:paraId="7C0C5901" w14:textId="77777777" w:rsidR="00D3057E" w:rsidRDefault="00D3057E" w:rsidP="00D3057E">
      <w:pPr>
        <w:pStyle w:val="Headline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T</w:t>
      </w:r>
      <w:r w:rsidRPr="00D3057E">
        <w:rPr>
          <w:rFonts w:asciiTheme="minorHAnsi" w:hAnsiTheme="minorHAnsi" w:cstheme="minorHAnsi"/>
          <w:iCs/>
        </w:rPr>
        <w:t xml:space="preserve">o meet sustainability goals </w:t>
      </w:r>
    </w:p>
    <w:p w14:paraId="74F91ECC" w14:textId="5C000DC2" w:rsidR="00644120" w:rsidRPr="00D3057E" w:rsidRDefault="00F13545" w:rsidP="00D3057E">
      <w:pPr>
        <w:pStyle w:val="Headline"/>
        <w:rPr>
          <w:rFonts w:asciiTheme="minorHAnsi" w:hAnsiTheme="minorHAnsi" w:cstheme="minorHAnsi"/>
          <w:iCs/>
        </w:rPr>
      </w:pPr>
      <w:r w:rsidRPr="00D3057E">
        <w:rPr>
          <w:rFonts w:asciiTheme="minorHAnsi" w:hAnsiTheme="minorHAnsi" w:cstheme="minorHAnsi"/>
          <w:iCs/>
        </w:rPr>
        <w:t xml:space="preserve">Komatsu </w:t>
      </w:r>
      <w:r w:rsidR="00AF205D" w:rsidRPr="00D3057E">
        <w:rPr>
          <w:rFonts w:asciiTheme="minorHAnsi" w:hAnsiTheme="minorHAnsi" w:cstheme="minorHAnsi"/>
          <w:iCs/>
        </w:rPr>
        <w:t xml:space="preserve">will showcase </w:t>
      </w:r>
      <w:r w:rsidR="00D3057E" w:rsidRPr="00D3057E">
        <w:rPr>
          <w:rFonts w:asciiTheme="minorHAnsi" w:hAnsiTheme="minorHAnsi" w:cstheme="minorHAnsi"/>
          <w:iCs/>
        </w:rPr>
        <w:t>electric machines</w:t>
      </w:r>
      <w:r w:rsidR="00D3057E">
        <w:rPr>
          <w:rFonts w:asciiTheme="minorHAnsi" w:hAnsiTheme="minorHAnsi" w:cstheme="minorHAnsi"/>
          <w:iCs/>
        </w:rPr>
        <w:t xml:space="preserve"> and</w:t>
      </w:r>
      <w:r w:rsidR="00D3057E" w:rsidRPr="00D3057E">
        <w:rPr>
          <w:rFonts w:asciiTheme="minorHAnsi" w:hAnsiTheme="minorHAnsi" w:cstheme="minorHAnsi"/>
          <w:iCs/>
        </w:rPr>
        <w:t xml:space="preserve"> battery technology at CONEXPO-CON/AGG 2023</w:t>
      </w:r>
    </w:p>
    <w:p w14:paraId="245C86D2" w14:textId="77777777" w:rsidR="00CC3311" w:rsidRDefault="00CC3311" w:rsidP="004A4AA8">
      <w:pPr>
        <w:spacing w:after="0" w:line="240" w:lineRule="auto"/>
        <w:rPr>
          <w:rFonts w:cstheme="minorHAnsi"/>
          <w:b/>
        </w:rPr>
      </w:pPr>
    </w:p>
    <w:p w14:paraId="103D199E" w14:textId="3F4E56B8" w:rsidR="00277E5D" w:rsidRDefault="002D44BD" w:rsidP="00F66C4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March </w:t>
      </w:r>
      <w:r w:rsidR="00B85FE4">
        <w:rPr>
          <w:rFonts w:ascii="Arial" w:hAnsi="Arial" w:cs="Arial"/>
          <w:b/>
          <w:bCs/>
        </w:rPr>
        <w:t>6</w:t>
      </w:r>
      <w:r w:rsidR="00E56264" w:rsidRPr="00277E5D">
        <w:rPr>
          <w:rFonts w:ascii="Arial" w:hAnsi="Arial" w:cs="Arial"/>
          <w:b/>
          <w:bCs/>
        </w:rPr>
        <w:t>, 2023</w:t>
      </w:r>
      <w:r w:rsidR="00E56264">
        <w:rPr>
          <w:rFonts w:ascii="Arial" w:hAnsi="Arial" w:cs="Arial"/>
        </w:rPr>
        <w:t xml:space="preserve"> — </w:t>
      </w:r>
      <w:r w:rsidR="00E56264" w:rsidRPr="00E77DBE">
        <w:rPr>
          <w:rFonts w:ascii="Arial" w:hAnsi="Arial" w:cs="Arial"/>
        </w:rPr>
        <w:t>For the sustainability of business</w:t>
      </w:r>
      <w:r w:rsidR="00F66C4D">
        <w:rPr>
          <w:rFonts w:ascii="Arial" w:hAnsi="Arial" w:cs="Arial"/>
        </w:rPr>
        <w:t>es</w:t>
      </w:r>
      <w:r w:rsidR="00E56264" w:rsidRPr="00E77DBE">
        <w:rPr>
          <w:rFonts w:ascii="Arial" w:hAnsi="Arial" w:cs="Arial"/>
        </w:rPr>
        <w:t xml:space="preserve"> and </w:t>
      </w:r>
      <w:r w:rsidR="00E56264">
        <w:rPr>
          <w:rFonts w:ascii="Arial" w:hAnsi="Arial" w:cs="Arial"/>
        </w:rPr>
        <w:t xml:space="preserve">the </w:t>
      </w:r>
      <w:r w:rsidR="00E56264" w:rsidRPr="00E77DBE">
        <w:rPr>
          <w:rFonts w:ascii="Arial" w:hAnsi="Arial" w:cs="Arial"/>
        </w:rPr>
        <w:t xml:space="preserve">planet, </w:t>
      </w:r>
      <w:r w:rsidR="00E56264">
        <w:rPr>
          <w:rFonts w:ascii="Arial" w:hAnsi="Arial" w:cs="Arial"/>
        </w:rPr>
        <w:t>at CONEXPO/CON-AGG 2023, Komatsu</w:t>
      </w:r>
      <w:r w:rsidR="00E56264" w:rsidRPr="00E77DBE">
        <w:rPr>
          <w:rFonts w:ascii="Arial" w:hAnsi="Arial" w:cs="Arial"/>
        </w:rPr>
        <w:t xml:space="preserve"> </w:t>
      </w:r>
      <w:r w:rsidR="00E56264">
        <w:rPr>
          <w:rFonts w:ascii="Arial" w:hAnsi="Arial" w:cs="Arial"/>
        </w:rPr>
        <w:t xml:space="preserve">will be showcasing machines and technology </w:t>
      </w:r>
      <w:r w:rsidR="00E56264" w:rsidRPr="0065417E">
        <w:rPr>
          <w:rFonts w:ascii="Arial" w:hAnsi="Arial" w:cs="Arial"/>
        </w:rPr>
        <w:t xml:space="preserve">engineered to help </w:t>
      </w:r>
      <w:r w:rsidR="00E56264">
        <w:rPr>
          <w:rFonts w:ascii="Arial" w:hAnsi="Arial" w:cs="Arial"/>
        </w:rPr>
        <w:t xml:space="preserve">customers </w:t>
      </w:r>
      <w:r w:rsidR="00E56264" w:rsidRPr="0065417E">
        <w:rPr>
          <w:rFonts w:ascii="Arial" w:hAnsi="Arial" w:cs="Arial"/>
        </w:rPr>
        <w:t xml:space="preserve">reduce </w:t>
      </w:r>
      <w:r w:rsidR="00E56264">
        <w:rPr>
          <w:rFonts w:ascii="Arial" w:hAnsi="Arial" w:cs="Arial"/>
        </w:rPr>
        <w:t>their</w:t>
      </w:r>
      <w:r w:rsidR="00E56264" w:rsidRPr="0065417E">
        <w:rPr>
          <w:rFonts w:ascii="Arial" w:hAnsi="Arial" w:cs="Arial"/>
        </w:rPr>
        <w:t xml:space="preserve"> carbon footprint​</w:t>
      </w:r>
      <w:r w:rsidR="00F66C4D">
        <w:rPr>
          <w:rFonts w:ascii="Arial" w:hAnsi="Arial" w:cs="Arial"/>
        </w:rPr>
        <w:t xml:space="preserve"> and </w:t>
      </w:r>
      <w:r w:rsidR="00E56264" w:rsidRPr="0065417E">
        <w:rPr>
          <w:rFonts w:ascii="Arial" w:hAnsi="Arial" w:cs="Arial"/>
        </w:rPr>
        <w:t>plan for implement</w:t>
      </w:r>
      <w:r w:rsidR="00C021CE">
        <w:rPr>
          <w:rFonts w:ascii="Arial" w:hAnsi="Arial" w:cs="Arial"/>
        </w:rPr>
        <w:t xml:space="preserve">ing </w:t>
      </w:r>
      <w:r w:rsidR="00E56264" w:rsidRPr="0065417E">
        <w:rPr>
          <w:rFonts w:ascii="Arial" w:hAnsi="Arial" w:cs="Arial"/>
        </w:rPr>
        <w:t>sustainable solutions, including electrification</w:t>
      </w:r>
      <w:r w:rsidR="00E56264">
        <w:rPr>
          <w:rFonts w:ascii="Arial" w:hAnsi="Arial" w:cs="Arial"/>
        </w:rPr>
        <w:t>.</w:t>
      </w:r>
      <w:r w:rsidR="00277E5D">
        <w:rPr>
          <w:rFonts w:ascii="Arial" w:hAnsi="Arial" w:cs="Arial"/>
        </w:rPr>
        <w:t xml:space="preserve"> In booth </w:t>
      </w:r>
      <w:r w:rsidR="00277E5D" w:rsidRPr="00885CA2">
        <w:rPr>
          <w:rFonts w:cstheme="minorHAnsi"/>
        </w:rPr>
        <w:t>W4204</w:t>
      </w:r>
      <w:r w:rsidR="00A34292">
        <w:rPr>
          <w:rFonts w:cstheme="minorHAnsi"/>
        </w:rPr>
        <w:t>4</w:t>
      </w:r>
      <w:r w:rsidR="00277E5D">
        <w:rPr>
          <w:rFonts w:cstheme="minorHAnsi"/>
        </w:rPr>
        <w:t xml:space="preserve">, visitors to the show </w:t>
      </w:r>
      <w:r w:rsidR="00277E5D">
        <w:rPr>
          <w:rFonts w:ascii="Arial" w:hAnsi="Arial" w:cs="Arial"/>
        </w:rPr>
        <w:t>will find a</w:t>
      </w:r>
      <w:r w:rsidR="00277E5D" w:rsidRPr="00E77DBE">
        <w:rPr>
          <w:rFonts w:ascii="Arial" w:hAnsi="Arial" w:cs="Arial"/>
        </w:rPr>
        <w:t xml:space="preserve"> variety of options </w:t>
      </w:r>
      <w:r w:rsidR="00277E5D">
        <w:rPr>
          <w:rFonts w:ascii="Arial" w:hAnsi="Arial" w:cs="Arial"/>
        </w:rPr>
        <w:t xml:space="preserve">designed </w:t>
      </w:r>
      <w:r w:rsidR="00277E5D" w:rsidRPr="00E77DBE">
        <w:rPr>
          <w:rFonts w:ascii="Arial" w:hAnsi="Arial" w:cs="Arial"/>
        </w:rPr>
        <w:t>to help manage energy transitions</w:t>
      </w:r>
      <w:r w:rsidR="00277E5D">
        <w:rPr>
          <w:rFonts w:ascii="Arial" w:hAnsi="Arial" w:cs="Arial"/>
        </w:rPr>
        <w:t xml:space="preserve"> and</w:t>
      </w:r>
      <w:r w:rsidR="00277E5D" w:rsidRPr="00E77DBE">
        <w:rPr>
          <w:rFonts w:ascii="Arial" w:hAnsi="Arial" w:cs="Arial"/>
        </w:rPr>
        <w:t xml:space="preserve"> increase efficiencies </w:t>
      </w:r>
      <w:r w:rsidR="00C34C66">
        <w:rPr>
          <w:rFonts w:ascii="Arial" w:hAnsi="Arial" w:cs="Arial"/>
        </w:rPr>
        <w:t xml:space="preserve">to help </w:t>
      </w:r>
      <w:r w:rsidR="00277E5D" w:rsidRPr="00E77DBE">
        <w:rPr>
          <w:rFonts w:ascii="Arial" w:hAnsi="Arial" w:cs="Arial"/>
        </w:rPr>
        <w:t xml:space="preserve">reduce fuel burn and emissions and </w:t>
      </w:r>
      <w:r w:rsidR="00277E5D">
        <w:rPr>
          <w:rFonts w:ascii="Arial" w:hAnsi="Arial" w:cs="Arial"/>
        </w:rPr>
        <w:t xml:space="preserve">make fleet </w:t>
      </w:r>
      <w:r w:rsidR="00277E5D" w:rsidRPr="00E77DBE">
        <w:rPr>
          <w:rFonts w:ascii="Arial" w:hAnsi="Arial" w:cs="Arial"/>
        </w:rPr>
        <w:t>manage</w:t>
      </w:r>
      <w:r w:rsidR="00277E5D">
        <w:rPr>
          <w:rFonts w:ascii="Arial" w:hAnsi="Arial" w:cs="Arial"/>
        </w:rPr>
        <w:t xml:space="preserve">ment more </w:t>
      </w:r>
      <w:r w:rsidR="00277E5D" w:rsidRPr="00E77DBE">
        <w:rPr>
          <w:rFonts w:ascii="Arial" w:hAnsi="Arial" w:cs="Arial"/>
        </w:rPr>
        <w:t>efficient.​</w:t>
      </w:r>
    </w:p>
    <w:p w14:paraId="166657BB" w14:textId="77777777" w:rsidR="00F66C4D" w:rsidRDefault="00F66C4D" w:rsidP="00F66C4D">
      <w:pPr>
        <w:spacing w:after="0"/>
        <w:rPr>
          <w:rFonts w:ascii="Arial" w:hAnsi="Arial" w:cs="Arial"/>
          <w:b/>
          <w:bCs/>
          <w:i/>
          <w:iCs/>
        </w:rPr>
      </w:pPr>
    </w:p>
    <w:p w14:paraId="737150A7" w14:textId="5D300616" w:rsidR="00F66C4D" w:rsidRDefault="00F66C4D" w:rsidP="00F66C4D">
      <w:pPr>
        <w:spacing w:after="0"/>
        <w:rPr>
          <w:rFonts w:ascii="Arial" w:hAnsi="Arial" w:cs="Arial"/>
          <w:b/>
          <w:bCs/>
          <w:i/>
          <w:iCs/>
        </w:rPr>
      </w:pPr>
      <w:r w:rsidRPr="00F66C4D">
        <w:rPr>
          <w:rFonts w:ascii="Arial" w:hAnsi="Arial" w:cs="Arial"/>
          <w:b/>
          <w:bCs/>
          <w:i/>
          <w:iCs/>
        </w:rPr>
        <w:t>Electric excavators</w:t>
      </w:r>
    </w:p>
    <w:p w14:paraId="66B27E30" w14:textId="5FD97914" w:rsidR="00F66C4D" w:rsidRDefault="00043A83" w:rsidP="00F66C4D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06D107" wp14:editId="03303F23">
                <wp:simplePos x="0" y="0"/>
                <wp:positionH relativeFrom="column">
                  <wp:posOffset>3345180</wp:posOffset>
                </wp:positionH>
                <wp:positionV relativeFrom="paragraph">
                  <wp:posOffset>1721485</wp:posOffset>
                </wp:positionV>
                <wp:extent cx="249301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CCC82E" w14:textId="1A9D2A2D" w:rsidR="00043A83" w:rsidRPr="001E5BC0" w:rsidRDefault="00043A83" w:rsidP="00043A83">
                            <w:pPr>
                              <w:pStyle w:val="Caption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t>Komatsu's PC210LCE electric excavator features Proterra's lithium-ion battery technology</w:t>
                            </w:r>
                            <w:r w:rsidR="002775B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06D1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3.4pt;margin-top:135.55pt;width:196.3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" stroked="f">
                <v:textbox style="mso-fit-shape-to-text:t" inset="0,0,0,0">
                  <w:txbxContent>
                    <w:p w14:paraId="2ACCC82E" w14:textId="1A9D2A2D" w:rsidR="00043A83" w:rsidRPr="001E5BC0" w:rsidRDefault="00043A83" w:rsidP="00043A83">
                      <w:pPr>
                        <w:pStyle w:val="Caption"/>
                        <w:rPr>
                          <w:rFonts w:ascii="Arial" w:hAnsi="Arial" w:cs="Arial"/>
                          <w:noProof/>
                        </w:rPr>
                      </w:pPr>
                      <w:r>
                        <w:t>Komatsu's PC210LCE electric excavator features Proterra's lithium-ion battery technology</w:t>
                      </w:r>
                      <w:r w:rsidR="002775B3"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1659658" wp14:editId="472C8E98">
            <wp:simplePos x="0" y="0"/>
            <wp:positionH relativeFrom="margin">
              <wp:posOffset>3345498</wp:posOffset>
            </wp:positionH>
            <wp:positionV relativeFrom="paragraph">
              <wp:posOffset>2540</wp:posOffset>
            </wp:positionV>
            <wp:extent cx="2493010" cy="1661795"/>
            <wp:effectExtent l="0" t="0" r="2540" b="0"/>
            <wp:wrapTight wrapText="bothSides">
              <wp:wrapPolygon edited="0">
                <wp:start x="0" y="0"/>
                <wp:lineTo x="0" y="21295"/>
                <wp:lineTo x="21457" y="21295"/>
                <wp:lineTo x="214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C4D" w:rsidRPr="0E26619D">
        <w:rPr>
          <w:rFonts w:ascii="Arial" w:hAnsi="Arial" w:cs="Arial"/>
        </w:rPr>
        <w:t xml:space="preserve">Coming soon to North America and featured in the </w:t>
      </w:r>
      <w:r w:rsidR="00B03A76" w:rsidRPr="0E26619D">
        <w:rPr>
          <w:rFonts w:ascii="Arial" w:hAnsi="Arial" w:cs="Arial"/>
        </w:rPr>
        <w:t xml:space="preserve">Komatsu </w:t>
      </w:r>
      <w:r w:rsidR="00F66C4D" w:rsidRPr="0E26619D">
        <w:rPr>
          <w:rFonts w:ascii="Arial" w:hAnsi="Arial" w:cs="Arial"/>
        </w:rPr>
        <w:t xml:space="preserve">booth will be the 20-ton </w:t>
      </w:r>
      <w:r w:rsidR="00F66C4D" w:rsidRPr="0E26619D">
        <w:rPr>
          <w:rFonts w:ascii="Arial" w:hAnsi="Arial" w:cs="Arial"/>
          <w:b/>
          <w:bCs/>
        </w:rPr>
        <w:t>PC210</w:t>
      </w:r>
      <w:r w:rsidR="00903DA8">
        <w:rPr>
          <w:rFonts w:ascii="Arial" w:hAnsi="Arial" w:cs="Arial" w:hint="eastAsia"/>
          <w:b/>
          <w:bCs/>
          <w:lang w:eastAsia="ja-JP"/>
        </w:rPr>
        <w:t>LC</w:t>
      </w:r>
      <w:r w:rsidR="00F66C4D" w:rsidRPr="0E26619D">
        <w:rPr>
          <w:rFonts w:ascii="Arial" w:hAnsi="Arial" w:cs="Arial"/>
          <w:b/>
          <w:bCs/>
        </w:rPr>
        <w:t>E</w:t>
      </w:r>
      <w:r w:rsidR="006B10D3">
        <w:rPr>
          <w:rFonts w:ascii="Arial" w:hAnsi="Arial" w:cs="Arial"/>
          <w:b/>
          <w:bCs/>
        </w:rPr>
        <w:t xml:space="preserve"> </w:t>
      </w:r>
      <w:r w:rsidR="00F66C4D" w:rsidRPr="0E26619D">
        <w:rPr>
          <w:rFonts w:ascii="Arial" w:hAnsi="Arial" w:cs="Arial"/>
          <w:b/>
          <w:bCs/>
        </w:rPr>
        <w:t>electric excavator</w:t>
      </w:r>
      <w:r w:rsidR="00F66C4D" w:rsidRPr="0E26619D">
        <w:rPr>
          <w:rFonts w:ascii="Arial" w:hAnsi="Arial" w:cs="Arial"/>
        </w:rPr>
        <w:t xml:space="preserve">, first displayed last fall at </w:t>
      </w:r>
      <w:proofErr w:type="spellStart"/>
      <w:r w:rsidR="00F66C4D" w:rsidRPr="0E26619D">
        <w:rPr>
          <w:rFonts w:ascii="Arial" w:hAnsi="Arial" w:cs="Arial"/>
        </w:rPr>
        <w:t>Bauma</w:t>
      </w:r>
      <w:proofErr w:type="spellEnd"/>
      <w:r w:rsidR="00F66C4D" w:rsidRPr="0E26619D">
        <w:rPr>
          <w:rFonts w:ascii="Arial" w:hAnsi="Arial" w:cs="Arial"/>
        </w:rPr>
        <w:t>. Featuring</w:t>
      </w:r>
      <w:r w:rsidR="00FE0263">
        <w:rPr>
          <w:rFonts w:ascii="Arial" w:hAnsi="Arial" w:cs="Arial"/>
        </w:rPr>
        <w:t xml:space="preserve"> Proterra’s</w:t>
      </w:r>
      <w:r w:rsidR="00F66C4D" w:rsidRPr="0E26619D">
        <w:rPr>
          <w:rFonts w:ascii="Arial" w:hAnsi="Arial" w:cs="Arial"/>
        </w:rPr>
        <w:t xml:space="preserve"> lithium-ion battery technology, the excavator has 451 kWh of battery capacity, for up to 8 hours of operating time</w:t>
      </w:r>
      <w:r w:rsidR="00036571" w:rsidRPr="0E26619D">
        <w:rPr>
          <w:rFonts w:ascii="Arial" w:hAnsi="Arial" w:cs="Arial"/>
          <w:lang w:eastAsia="ja-JP"/>
        </w:rPr>
        <w:t>*</w:t>
      </w:r>
      <w:r w:rsidR="00F66C4D" w:rsidRPr="0E26619D">
        <w:rPr>
          <w:rFonts w:ascii="Arial" w:hAnsi="Arial" w:cs="Arial"/>
        </w:rPr>
        <w:t xml:space="preserve">. </w:t>
      </w:r>
    </w:p>
    <w:p w14:paraId="1C64D91A" w14:textId="66BECF45" w:rsidR="00132D74" w:rsidRPr="00132D74" w:rsidRDefault="00036571" w:rsidP="00F66C4D">
      <w:pPr>
        <w:spacing w:after="0"/>
        <w:rPr>
          <w:rFonts w:asciiTheme="majorHAnsi" w:hAnsiTheme="majorHAnsi" w:cstheme="majorHAnsi"/>
        </w:rPr>
      </w:pPr>
      <w:r w:rsidRPr="00036571">
        <w:rPr>
          <w:rFonts w:asciiTheme="majorHAnsi" w:hAnsiTheme="majorHAnsi" w:cstheme="majorHAnsi"/>
        </w:rPr>
        <w:t xml:space="preserve">*Operation of 5 to 9 hours in </w:t>
      </w:r>
      <w:r w:rsidR="00DD1F7A">
        <w:rPr>
          <w:rFonts w:asciiTheme="majorHAnsi" w:hAnsiTheme="majorHAnsi" w:cstheme="majorHAnsi"/>
        </w:rPr>
        <w:t>test</w:t>
      </w:r>
      <w:r w:rsidR="00CA32EA">
        <w:rPr>
          <w:rFonts w:asciiTheme="majorHAnsi" w:hAnsiTheme="majorHAnsi" w:cstheme="majorHAnsi"/>
        </w:rPr>
        <w:t>s</w:t>
      </w:r>
      <w:r w:rsidRPr="00036571">
        <w:rPr>
          <w:rFonts w:asciiTheme="majorHAnsi" w:hAnsiTheme="majorHAnsi" w:cstheme="majorHAnsi"/>
        </w:rPr>
        <w:t>, depending on workload conditions.</w:t>
      </w:r>
    </w:p>
    <w:p w14:paraId="6BA499F4" w14:textId="77777777" w:rsidR="00036571" w:rsidRDefault="00036571" w:rsidP="00F66C4D">
      <w:pPr>
        <w:spacing w:after="0"/>
        <w:rPr>
          <w:rFonts w:ascii="Arial" w:hAnsi="Arial" w:cs="Arial"/>
        </w:rPr>
      </w:pPr>
    </w:p>
    <w:p w14:paraId="5817EC59" w14:textId="74F5EAA1" w:rsidR="00F66C4D" w:rsidRDefault="00F66C4D" w:rsidP="00F66C4D">
      <w:pPr>
        <w:spacing w:after="0"/>
        <w:rPr>
          <w:rFonts w:ascii="Arial" w:hAnsi="Arial" w:cs="Arial"/>
        </w:rPr>
      </w:pPr>
      <w:r w:rsidRPr="00F66C4D">
        <w:rPr>
          <w:rFonts w:ascii="Arial" w:hAnsi="Arial" w:cs="Arial"/>
        </w:rPr>
        <w:t xml:space="preserve">For quiet and simpler operation without vibrations and zero emissions, the </w:t>
      </w:r>
      <w:r w:rsidRPr="00F66C4D">
        <w:rPr>
          <w:rFonts w:ascii="Arial" w:hAnsi="Arial" w:cs="Arial"/>
          <w:b/>
          <w:bCs/>
        </w:rPr>
        <w:t>PC30E electric mini excavator</w:t>
      </w:r>
      <w:r w:rsidRPr="00F66C4D">
        <w:rPr>
          <w:rFonts w:ascii="Arial" w:hAnsi="Arial" w:cs="Arial"/>
        </w:rPr>
        <w:t xml:space="preserve">​ fits the bill. Equipped with a </w:t>
      </w:r>
      <w:r w:rsidR="008E5698" w:rsidRPr="00F66C4D">
        <w:rPr>
          <w:rFonts w:ascii="Arial" w:hAnsi="Arial" w:cs="Arial"/>
        </w:rPr>
        <w:t>3</w:t>
      </w:r>
      <w:r w:rsidR="00036571">
        <w:rPr>
          <w:rFonts w:ascii="Arial" w:hAnsi="Arial" w:cs="Arial"/>
        </w:rPr>
        <w:t>5</w:t>
      </w:r>
      <w:r w:rsidR="008E5698" w:rsidRPr="00F66C4D">
        <w:rPr>
          <w:rFonts w:ascii="Arial" w:hAnsi="Arial" w:cs="Arial"/>
        </w:rPr>
        <w:t>-kWh</w:t>
      </w:r>
      <w:r w:rsidRPr="00F66C4D">
        <w:rPr>
          <w:rFonts w:ascii="Arial" w:hAnsi="Arial" w:cs="Arial"/>
        </w:rPr>
        <w:t xml:space="preserve"> battery and a </w:t>
      </w:r>
      <w:r w:rsidR="00036571" w:rsidRPr="00F66C4D">
        <w:rPr>
          <w:rFonts w:ascii="Arial" w:hAnsi="Arial" w:cs="Arial"/>
        </w:rPr>
        <w:t>1</w:t>
      </w:r>
      <w:r w:rsidR="00036571">
        <w:rPr>
          <w:rFonts w:ascii="Arial" w:hAnsi="Arial" w:cs="Arial"/>
        </w:rPr>
        <w:t>7</w:t>
      </w:r>
      <w:r w:rsidRPr="00F66C4D">
        <w:rPr>
          <w:rFonts w:ascii="Arial" w:hAnsi="Arial" w:cs="Arial"/>
        </w:rPr>
        <w:t>.</w:t>
      </w:r>
      <w:r w:rsidR="00036571">
        <w:rPr>
          <w:rFonts w:ascii="Arial" w:hAnsi="Arial" w:cs="Arial"/>
        </w:rPr>
        <w:t>4</w:t>
      </w:r>
      <w:r w:rsidR="00036571" w:rsidRPr="00F66C4D">
        <w:rPr>
          <w:rFonts w:ascii="Arial" w:hAnsi="Arial" w:cs="Arial"/>
        </w:rPr>
        <w:t xml:space="preserve"> </w:t>
      </w:r>
      <w:r w:rsidRPr="00F66C4D">
        <w:rPr>
          <w:rFonts w:ascii="Arial" w:hAnsi="Arial" w:cs="Arial"/>
        </w:rPr>
        <w:t>kW electric motor​, its batteries can be fast-charged.​ This electric mini-exc</w:t>
      </w:r>
      <w:r>
        <w:rPr>
          <w:rFonts w:ascii="Arial" w:hAnsi="Arial" w:cs="Arial"/>
        </w:rPr>
        <w:t>a</w:t>
      </w:r>
      <w:r w:rsidRPr="00F66C4D">
        <w:rPr>
          <w:rFonts w:ascii="Arial" w:hAnsi="Arial" w:cs="Arial"/>
        </w:rPr>
        <w:t>vator is suitable for a diverse range of workplaces including</w:t>
      </w:r>
      <w:r w:rsidR="00B820E4">
        <w:rPr>
          <w:rFonts w:ascii="Arial" w:hAnsi="Arial" w:cs="Arial"/>
        </w:rPr>
        <w:t xml:space="preserve"> operating</w:t>
      </w:r>
      <w:r w:rsidRPr="00F66C4D">
        <w:rPr>
          <w:rFonts w:ascii="Arial" w:hAnsi="Arial" w:cs="Arial"/>
        </w:rPr>
        <w:t xml:space="preserve"> indoors, urban construction, and landscaping.​</w:t>
      </w:r>
    </w:p>
    <w:p w14:paraId="4B6811A7" w14:textId="77777777" w:rsidR="00F66C4D" w:rsidRPr="00F66C4D" w:rsidRDefault="00F66C4D" w:rsidP="00F66C4D">
      <w:pPr>
        <w:spacing w:after="0"/>
        <w:rPr>
          <w:rFonts w:ascii="Arial" w:hAnsi="Arial" w:cs="Arial"/>
        </w:rPr>
      </w:pPr>
    </w:p>
    <w:p w14:paraId="424A5CA9" w14:textId="15A5118F" w:rsidR="00F66C4D" w:rsidRDefault="00F66C4D" w:rsidP="00F66C4D">
      <w:pPr>
        <w:spacing w:after="0"/>
        <w:rPr>
          <w:rFonts w:ascii="Arial" w:hAnsi="Arial" w:cs="Arial"/>
        </w:rPr>
      </w:pPr>
      <w:r w:rsidRPr="00F66C4D">
        <w:rPr>
          <w:rFonts w:ascii="Arial" w:hAnsi="Arial" w:cs="Arial"/>
        </w:rPr>
        <w:t xml:space="preserve">Komatsu will also feature </w:t>
      </w:r>
      <w:r w:rsidRPr="006E4673">
        <w:rPr>
          <w:rFonts w:ascii="Arial" w:hAnsi="Arial" w:cs="Arial"/>
        </w:rPr>
        <w:t>its</w:t>
      </w:r>
      <w:r w:rsidR="004837EC" w:rsidRPr="006E4673">
        <w:rPr>
          <w:rFonts w:ascii="Arial" w:hAnsi="Arial" w:cs="Arial"/>
        </w:rPr>
        <w:t xml:space="preserve"> </w:t>
      </w:r>
      <w:r w:rsidRPr="00F66C4D">
        <w:rPr>
          <w:rFonts w:ascii="Arial" w:hAnsi="Arial" w:cs="Arial"/>
          <w:b/>
          <w:bCs/>
        </w:rPr>
        <w:t xml:space="preserve">PC01E </w:t>
      </w:r>
      <w:r w:rsidR="00094396" w:rsidRPr="002B6DCB">
        <w:rPr>
          <w:rFonts w:ascii="Arial" w:hAnsi="Arial" w:cs="Arial"/>
          <w:b/>
          <w:bCs/>
        </w:rPr>
        <w:t xml:space="preserve">electric </w:t>
      </w:r>
      <w:r w:rsidR="00094396" w:rsidRPr="00F66C4D">
        <w:rPr>
          <w:rFonts w:ascii="Arial" w:hAnsi="Arial" w:cs="Arial"/>
          <w:b/>
          <w:bCs/>
        </w:rPr>
        <w:t xml:space="preserve">micro </w:t>
      </w:r>
      <w:r w:rsidRPr="00F66C4D">
        <w:rPr>
          <w:rFonts w:ascii="Arial" w:hAnsi="Arial" w:cs="Arial"/>
          <w:b/>
          <w:bCs/>
        </w:rPr>
        <w:t>excavator</w:t>
      </w:r>
      <w:r w:rsidR="00745A6E" w:rsidRPr="00745A6E">
        <w:rPr>
          <w:rFonts w:hint="eastAsia"/>
        </w:rPr>
        <w:t xml:space="preserve"> </w:t>
      </w:r>
      <w:r w:rsidR="00745A6E" w:rsidRPr="00057073">
        <w:rPr>
          <w:rFonts w:ascii="Arial" w:hAnsi="Arial" w:cs="Arial"/>
        </w:rPr>
        <w:t>powered by portable and</w:t>
      </w:r>
      <w:r w:rsidR="00745A6E" w:rsidRPr="00057073">
        <w:rPr>
          <w:rFonts w:ascii="Arial" w:hAnsi="Arial" w:cs="Arial"/>
          <w:lang w:eastAsia="ja-JP"/>
        </w:rPr>
        <w:t xml:space="preserve"> </w:t>
      </w:r>
      <w:r w:rsidR="00745A6E" w:rsidRPr="00057073">
        <w:rPr>
          <w:rFonts w:ascii="Arial" w:hAnsi="Arial" w:cs="Arial"/>
        </w:rPr>
        <w:t>swappable mobile batteries</w:t>
      </w:r>
      <w:r w:rsidRPr="00F66C4D">
        <w:rPr>
          <w:rFonts w:ascii="Arial" w:hAnsi="Arial" w:cs="Arial"/>
        </w:rPr>
        <w:t xml:space="preserve">.​ </w:t>
      </w:r>
      <w:r w:rsidR="003953DD">
        <w:rPr>
          <w:rFonts w:ascii="Arial" w:hAnsi="Arial" w:cs="Arial"/>
        </w:rPr>
        <w:t xml:space="preserve">Developed jointly with Honda, </w:t>
      </w:r>
      <w:r w:rsidR="004950CD">
        <w:rPr>
          <w:rFonts w:ascii="Arial" w:hAnsi="Arial" w:cs="Arial"/>
        </w:rPr>
        <w:t>this</w:t>
      </w:r>
      <w:r w:rsidR="00696A45">
        <w:rPr>
          <w:rFonts w:ascii="Arial" w:hAnsi="Arial" w:cs="Arial"/>
        </w:rPr>
        <w:t xml:space="preserve"> new</w:t>
      </w:r>
      <w:r w:rsidR="004950CD">
        <w:rPr>
          <w:rFonts w:ascii="Arial" w:hAnsi="Arial" w:cs="Arial"/>
        </w:rPr>
        <w:t xml:space="preserve"> machine is </w:t>
      </w:r>
      <w:r w:rsidR="003953DD">
        <w:rPr>
          <w:rFonts w:ascii="Arial" w:hAnsi="Arial" w:cs="Arial"/>
        </w:rPr>
        <w:t>d</w:t>
      </w:r>
      <w:r w:rsidRPr="00F66C4D">
        <w:rPr>
          <w:rFonts w:ascii="Arial" w:hAnsi="Arial" w:cs="Arial"/>
        </w:rPr>
        <w:t xml:space="preserve">esigned for confined spaces in landscaping, </w:t>
      </w:r>
      <w:proofErr w:type="gramStart"/>
      <w:r w:rsidRPr="00F66C4D">
        <w:rPr>
          <w:rFonts w:ascii="Arial" w:hAnsi="Arial" w:cs="Arial"/>
        </w:rPr>
        <w:t>agriculture</w:t>
      </w:r>
      <w:proofErr w:type="gramEnd"/>
      <w:r w:rsidRPr="00F66C4D">
        <w:rPr>
          <w:rFonts w:ascii="Arial" w:hAnsi="Arial" w:cs="Arial"/>
        </w:rPr>
        <w:t xml:space="preserve"> and construction</w:t>
      </w:r>
      <w:r w:rsidR="004950CD">
        <w:rPr>
          <w:rFonts w:ascii="Arial" w:hAnsi="Arial" w:cs="Arial"/>
        </w:rPr>
        <w:t>.</w:t>
      </w:r>
      <w:r w:rsidRPr="00F66C4D">
        <w:rPr>
          <w:rFonts w:ascii="Arial" w:hAnsi="Arial" w:cs="Arial"/>
        </w:rPr>
        <w:t xml:space="preserve"> Komatsu's vision for th</w:t>
      </w:r>
      <w:r w:rsidR="004950CD">
        <w:rPr>
          <w:rFonts w:ascii="Arial" w:hAnsi="Arial" w:cs="Arial"/>
        </w:rPr>
        <w:t>e</w:t>
      </w:r>
      <w:r w:rsidRPr="00F66C4D">
        <w:rPr>
          <w:rFonts w:ascii="Arial" w:hAnsi="Arial" w:cs="Arial"/>
        </w:rPr>
        <w:t xml:space="preserve"> swappable battery system is to scale up the technology for use in larger </w:t>
      </w:r>
      <w:r w:rsidR="00036571" w:rsidRPr="00036571">
        <w:rPr>
          <w:rFonts w:ascii="Arial" w:hAnsi="Arial" w:cs="Arial"/>
        </w:rPr>
        <w:t>micro excavator</w:t>
      </w:r>
      <w:r w:rsidRPr="00F66C4D">
        <w:rPr>
          <w:rFonts w:ascii="Arial" w:hAnsi="Arial" w:cs="Arial"/>
        </w:rPr>
        <w:t xml:space="preserve"> models. ​</w:t>
      </w:r>
    </w:p>
    <w:p w14:paraId="2FAAB6E0" w14:textId="43367C40" w:rsidR="00FB6A63" w:rsidRDefault="00FB6A63" w:rsidP="00F66C4D">
      <w:pPr>
        <w:spacing w:after="0"/>
        <w:rPr>
          <w:rFonts w:ascii="Arial" w:hAnsi="Arial" w:cs="Arial"/>
        </w:rPr>
      </w:pPr>
    </w:p>
    <w:p w14:paraId="4C6754F9" w14:textId="18D7EE8C" w:rsidR="00FB6A63" w:rsidRDefault="00FB6A63" w:rsidP="00FB6A63">
      <w:pPr>
        <w:spacing w:after="0"/>
        <w:rPr>
          <w:rFonts w:ascii="Arial" w:hAnsi="Arial" w:cs="Arial"/>
        </w:rPr>
      </w:pPr>
      <w:r w:rsidRPr="0E26619D">
        <w:rPr>
          <w:rFonts w:ascii="Arial" w:hAnsi="Arial" w:cs="Arial"/>
        </w:rPr>
        <w:t>The PC210</w:t>
      </w:r>
      <w:r w:rsidR="00F6659B" w:rsidRPr="00F6659B">
        <w:rPr>
          <w:rFonts w:ascii="Arial" w:hAnsi="Arial" w:cs="Arial"/>
        </w:rPr>
        <w:t>LC</w:t>
      </w:r>
      <w:r w:rsidRPr="0E26619D">
        <w:rPr>
          <w:rFonts w:ascii="Arial" w:hAnsi="Arial" w:cs="Arial"/>
        </w:rPr>
        <w:t>E, PC30E</w:t>
      </w:r>
      <w:r w:rsidR="00811D96">
        <w:rPr>
          <w:rFonts w:ascii="Arial" w:hAnsi="Arial" w:cs="Arial"/>
        </w:rPr>
        <w:t xml:space="preserve"> and</w:t>
      </w:r>
      <w:r w:rsidRPr="0E26619D">
        <w:rPr>
          <w:rFonts w:ascii="Arial" w:hAnsi="Arial" w:cs="Arial"/>
        </w:rPr>
        <w:t xml:space="preserve"> PC01E will be available in select markets in 2023</w:t>
      </w:r>
      <w:r w:rsidR="004F5032" w:rsidRPr="0E26619D">
        <w:rPr>
          <w:rFonts w:ascii="Arial" w:hAnsi="Arial" w:cs="Arial"/>
        </w:rPr>
        <w:t>.</w:t>
      </w:r>
    </w:p>
    <w:p w14:paraId="4D1AA048" w14:textId="77777777" w:rsidR="00F66C4D" w:rsidRPr="00F66C4D" w:rsidRDefault="00F66C4D" w:rsidP="00F66C4D">
      <w:pPr>
        <w:spacing w:after="0"/>
        <w:rPr>
          <w:rFonts w:ascii="Arial" w:hAnsi="Arial" w:cs="Arial"/>
        </w:rPr>
      </w:pPr>
    </w:p>
    <w:p w14:paraId="389188BD" w14:textId="3ED8B29B" w:rsidR="00F66C4D" w:rsidRPr="00F66C4D" w:rsidRDefault="00F66C4D" w:rsidP="00F66C4D">
      <w:pPr>
        <w:spacing w:after="0"/>
        <w:rPr>
          <w:rFonts w:ascii="Arial" w:hAnsi="Arial" w:cs="Arial"/>
          <w:b/>
          <w:bCs/>
          <w:i/>
          <w:iCs/>
        </w:rPr>
      </w:pPr>
      <w:r w:rsidRPr="00F66C4D">
        <w:rPr>
          <w:rFonts w:ascii="Arial" w:hAnsi="Arial" w:cs="Arial"/>
          <w:b/>
          <w:bCs/>
          <w:i/>
          <w:iCs/>
        </w:rPr>
        <w:t>Electric wheel loader concept</w:t>
      </w:r>
    </w:p>
    <w:p w14:paraId="42378297" w14:textId="354896C1" w:rsidR="00F66C4D" w:rsidRDefault="004F5032" w:rsidP="00F66C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With a</w:t>
      </w:r>
      <w:r w:rsidR="00F66C4D" w:rsidRPr="00F66C4D">
        <w:rPr>
          <w:rFonts w:ascii="Arial" w:hAnsi="Arial" w:cs="Arial"/>
        </w:rPr>
        <w:t xml:space="preserve"> chassis </w:t>
      </w:r>
      <w:r>
        <w:rPr>
          <w:rFonts w:ascii="Arial" w:hAnsi="Arial" w:cs="Arial"/>
        </w:rPr>
        <w:t xml:space="preserve">based </w:t>
      </w:r>
      <w:r w:rsidR="00A307C7">
        <w:rPr>
          <w:rFonts w:ascii="Arial" w:hAnsi="Arial" w:cs="Arial"/>
        </w:rPr>
        <w:t xml:space="preserve">on </w:t>
      </w:r>
      <w:r w:rsidR="00F66C4D" w:rsidRPr="00F66C4D">
        <w:rPr>
          <w:rFonts w:ascii="Arial" w:hAnsi="Arial" w:cs="Arial"/>
        </w:rPr>
        <w:t>the Komatsu WA70</w:t>
      </w:r>
      <w:r w:rsidR="00F66C4D">
        <w:rPr>
          <w:rFonts w:ascii="Arial" w:hAnsi="Arial" w:cs="Arial"/>
        </w:rPr>
        <w:t xml:space="preserve"> wheel loader</w:t>
      </w:r>
      <w:r w:rsidR="00F66C4D" w:rsidRPr="00F66C4D">
        <w:rPr>
          <w:rFonts w:ascii="Arial" w:hAnsi="Arial" w:cs="Arial"/>
        </w:rPr>
        <w:t xml:space="preserve">, </w:t>
      </w:r>
      <w:r w:rsidR="00513F1E">
        <w:rPr>
          <w:rFonts w:ascii="Arial" w:hAnsi="Arial" w:cs="Arial"/>
        </w:rPr>
        <w:t xml:space="preserve">the WA Electric </w:t>
      </w:r>
      <w:r w:rsidR="00F66C4D">
        <w:rPr>
          <w:rFonts w:ascii="Arial" w:hAnsi="Arial" w:cs="Arial"/>
        </w:rPr>
        <w:t>wheel loader concept machine was</w:t>
      </w:r>
      <w:r w:rsidR="00F66C4D" w:rsidRPr="00F66C4D">
        <w:rPr>
          <w:rFonts w:ascii="Arial" w:hAnsi="Arial" w:cs="Arial"/>
        </w:rPr>
        <w:t xml:space="preserve"> developed in partnership with Moog Inc</w:t>
      </w:r>
      <w:r w:rsidR="00F66C4D">
        <w:rPr>
          <w:rFonts w:ascii="Arial" w:hAnsi="Arial" w:cs="Arial"/>
        </w:rPr>
        <w:t>.</w:t>
      </w:r>
      <w:r w:rsidR="00F66C4D" w:rsidRPr="00F66C4D">
        <w:rPr>
          <w:rFonts w:ascii="Arial" w:hAnsi="Arial" w:cs="Arial"/>
        </w:rPr>
        <w:t xml:space="preserve"> </w:t>
      </w:r>
      <w:r w:rsidR="00F66C4D">
        <w:rPr>
          <w:rFonts w:ascii="Arial" w:hAnsi="Arial" w:cs="Arial"/>
        </w:rPr>
        <w:t>Utilizing</w:t>
      </w:r>
      <w:r w:rsidR="00F66C4D" w:rsidRPr="00F66C4D">
        <w:rPr>
          <w:rFonts w:ascii="Arial" w:hAnsi="Arial" w:cs="Arial"/>
        </w:rPr>
        <w:t xml:space="preserve"> an "intelligent electrification system</w:t>
      </w:r>
      <w:r w:rsidR="00F66C4D">
        <w:rPr>
          <w:rFonts w:ascii="Arial" w:hAnsi="Arial" w:cs="Arial"/>
        </w:rPr>
        <w:t>,”</w:t>
      </w:r>
      <w:r w:rsidR="00F66C4D" w:rsidRPr="00F66C4D">
        <w:rPr>
          <w:rFonts w:ascii="Arial" w:hAnsi="Arial" w:cs="Arial"/>
        </w:rPr>
        <w:t xml:space="preserve"> this </w:t>
      </w:r>
      <w:r w:rsidR="00C021CE">
        <w:rPr>
          <w:rFonts w:ascii="Arial" w:hAnsi="Arial" w:cs="Arial"/>
        </w:rPr>
        <w:t>wheel loader</w:t>
      </w:r>
      <w:r w:rsidR="00F66C4D" w:rsidRPr="00F66C4D">
        <w:rPr>
          <w:rFonts w:ascii="Arial" w:hAnsi="Arial" w:cs="Arial"/>
        </w:rPr>
        <w:t xml:space="preserve"> features an electric traction motor, lift, tilt and steering cylinders, power electronics, system control computer, </w:t>
      </w:r>
      <w:proofErr w:type="gramStart"/>
      <w:r w:rsidR="00F66C4D" w:rsidRPr="00F66C4D">
        <w:rPr>
          <w:rFonts w:ascii="Arial" w:hAnsi="Arial" w:cs="Arial"/>
        </w:rPr>
        <w:t>battery</w:t>
      </w:r>
      <w:proofErr w:type="gramEnd"/>
      <w:r w:rsidR="00F66C4D" w:rsidRPr="00F66C4D">
        <w:rPr>
          <w:rFonts w:ascii="Arial" w:hAnsi="Arial" w:cs="Arial"/>
        </w:rPr>
        <w:t xml:space="preserve"> and battery management system. ​</w:t>
      </w:r>
    </w:p>
    <w:p w14:paraId="1A270EE3" w14:textId="6772DC40" w:rsidR="00C021CE" w:rsidRDefault="00C021CE" w:rsidP="00F66C4D">
      <w:pPr>
        <w:spacing w:after="0"/>
        <w:rPr>
          <w:rFonts w:ascii="Arial" w:hAnsi="Arial" w:cs="Arial"/>
        </w:rPr>
      </w:pPr>
    </w:p>
    <w:p w14:paraId="735B2D36" w14:textId="77777777" w:rsidR="00C021CE" w:rsidRPr="004B5D77" w:rsidRDefault="00C021CE" w:rsidP="00C021CE">
      <w:pPr>
        <w:spacing w:after="0"/>
        <w:rPr>
          <w:rFonts w:ascii="Arial" w:hAnsi="Arial" w:cs="Arial"/>
          <w:b/>
          <w:bCs/>
          <w:i/>
          <w:iCs/>
        </w:rPr>
      </w:pPr>
      <w:r w:rsidRPr="004B5D77">
        <w:rPr>
          <w:rFonts w:ascii="Arial" w:hAnsi="Arial" w:cs="Arial"/>
          <w:b/>
          <w:bCs/>
          <w:i/>
          <w:iCs/>
        </w:rPr>
        <w:t xml:space="preserve">Battery technology and charging station </w:t>
      </w:r>
      <w:proofErr w:type="gramStart"/>
      <w:r w:rsidRPr="004B5D77">
        <w:rPr>
          <w:rFonts w:ascii="Arial" w:hAnsi="Arial" w:cs="Arial"/>
          <w:b/>
          <w:bCs/>
          <w:i/>
          <w:iCs/>
        </w:rPr>
        <w:t>advancements</w:t>
      </w:r>
      <w:proofErr w:type="gramEnd"/>
    </w:p>
    <w:p w14:paraId="0BE2600A" w14:textId="33E7909A" w:rsidR="00C021CE" w:rsidRDefault="00C021CE" w:rsidP="00C021CE">
      <w:pPr>
        <w:spacing w:after="0"/>
        <w:rPr>
          <w:rFonts w:ascii="Arial" w:hAnsi="Arial" w:cs="Arial"/>
        </w:rPr>
      </w:pPr>
      <w:r w:rsidRPr="00E77DBE">
        <w:rPr>
          <w:rFonts w:ascii="Arial" w:hAnsi="Arial" w:cs="Arial"/>
        </w:rPr>
        <w:t>​</w:t>
      </w:r>
      <w:r>
        <w:rPr>
          <w:rFonts w:ascii="Arial" w:hAnsi="Arial" w:cs="Arial"/>
        </w:rPr>
        <w:t>T</w:t>
      </w:r>
      <w:r w:rsidRPr="00E77DBE">
        <w:rPr>
          <w:rFonts w:ascii="Arial" w:hAnsi="Arial" w:cs="Arial"/>
        </w:rPr>
        <w:t>o provide flexible charging solutions for varying applications and customer needs</w:t>
      </w:r>
      <w:r>
        <w:rPr>
          <w:rFonts w:ascii="Arial" w:hAnsi="Arial" w:cs="Arial"/>
        </w:rPr>
        <w:t>, Komatsu is</w:t>
      </w:r>
      <w:r w:rsidRPr="00E77DBE">
        <w:rPr>
          <w:rFonts w:ascii="Arial" w:hAnsi="Arial" w:cs="Arial"/>
        </w:rPr>
        <w:t xml:space="preserve"> exploring high-power-charging solutions </w:t>
      </w:r>
      <w:r>
        <w:rPr>
          <w:rFonts w:ascii="Arial" w:hAnsi="Arial" w:cs="Arial"/>
        </w:rPr>
        <w:t xml:space="preserve">and </w:t>
      </w:r>
      <w:r w:rsidRPr="00E77DBE">
        <w:rPr>
          <w:rFonts w:ascii="Arial" w:hAnsi="Arial" w:cs="Arial"/>
        </w:rPr>
        <w:t>developing multiple power source options including batteries</w:t>
      </w:r>
      <w:r w:rsidR="003853EB">
        <w:rPr>
          <w:rFonts w:ascii="Arial" w:hAnsi="Arial" w:cs="Arial"/>
        </w:rPr>
        <w:t xml:space="preserve">. </w:t>
      </w:r>
      <w:r w:rsidR="00EE7DCF">
        <w:rPr>
          <w:rFonts w:ascii="Arial" w:hAnsi="Arial" w:cs="Arial"/>
        </w:rPr>
        <w:t xml:space="preserve">Three </w:t>
      </w:r>
      <w:r w:rsidRPr="00E77DBE">
        <w:rPr>
          <w:rFonts w:ascii="Arial" w:hAnsi="Arial" w:cs="Arial"/>
        </w:rPr>
        <w:t xml:space="preserve">types of charging infrastructure </w:t>
      </w:r>
      <w:r>
        <w:rPr>
          <w:rFonts w:ascii="Arial" w:hAnsi="Arial" w:cs="Arial"/>
        </w:rPr>
        <w:t>options w</w:t>
      </w:r>
      <w:r w:rsidR="003853EB">
        <w:rPr>
          <w:rFonts w:ascii="Arial" w:hAnsi="Arial" w:cs="Arial"/>
        </w:rPr>
        <w:t>ill</w:t>
      </w:r>
      <w:r>
        <w:rPr>
          <w:rFonts w:ascii="Arial" w:hAnsi="Arial" w:cs="Arial"/>
        </w:rPr>
        <w:t xml:space="preserve"> be on display at the company’s booth</w:t>
      </w:r>
      <w:r w:rsidR="00E078CD">
        <w:rPr>
          <w:rFonts w:ascii="Arial" w:hAnsi="Arial" w:cs="Arial"/>
        </w:rPr>
        <w:t xml:space="preserve">. </w:t>
      </w:r>
    </w:p>
    <w:p w14:paraId="068B1702" w14:textId="6661C954" w:rsidR="00C021CE" w:rsidRDefault="00C021CE" w:rsidP="00C021CE">
      <w:pPr>
        <w:spacing w:after="0"/>
        <w:rPr>
          <w:rFonts w:ascii="Arial" w:hAnsi="Arial" w:cs="Arial"/>
        </w:rPr>
      </w:pPr>
    </w:p>
    <w:p w14:paraId="585CE232" w14:textId="77777777" w:rsidR="00875A62" w:rsidRDefault="00875A62" w:rsidP="00875A62">
      <w:pPr>
        <w:spacing w:after="0"/>
        <w:rPr>
          <w:rFonts w:ascii="Arial" w:hAnsi="Arial" w:cs="Arial"/>
        </w:rPr>
      </w:pPr>
      <w:r w:rsidRPr="004B5D77">
        <w:rPr>
          <w:rFonts w:ascii="Arial" w:hAnsi="Arial" w:cs="Arial"/>
        </w:rPr>
        <w:t xml:space="preserve">The </w:t>
      </w:r>
      <w:r w:rsidRPr="004B5D77">
        <w:rPr>
          <w:rFonts w:ascii="Arial" w:hAnsi="Arial" w:cs="Arial"/>
          <w:b/>
          <w:bCs/>
        </w:rPr>
        <w:t>Komatsu Generation 2 charger</w:t>
      </w:r>
      <w:r w:rsidRPr="004B5D77">
        <w:rPr>
          <w:rFonts w:ascii="Arial" w:hAnsi="Arial" w:cs="Arial"/>
        </w:rPr>
        <w:t xml:space="preserve"> is well-suited to adapt </w:t>
      </w:r>
      <w:r>
        <w:rPr>
          <w:rFonts w:ascii="Arial" w:hAnsi="Arial" w:cs="Arial"/>
        </w:rPr>
        <w:t xml:space="preserve">to </w:t>
      </w:r>
      <w:r w:rsidRPr="004B5D77">
        <w:rPr>
          <w:rFonts w:ascii="Arial" w:hAnsi="Arial" w:cs="Arial"/>
        </w:rPr>
        <w:t xml:space="preserve">varying site </w:t>
      </w:r>
      <w:r>
        <w:rPr>
          <w:rFonts w:ascii="Arial" w:hAnsi="Arial" w:cs="Arial"/>
        </w:rPr>
        <w:t>conditions, stepping voltage up or down to meet charging needs</w:t>
      </w:r>
      <w:r w:rsidRPr="004B5D77">
        <w:rPr>
          <w:rFonts w:ascii="Arial" w:hAnsi="Arial" w:cs="Arial"/>
        </w:rPr>
        <w:t>. With an input range from 400-1140V and an output of 300-900V, it features a universal CCS (AC/DC) charge plug and it too is transportable.</w:t>
      </w:r>
    </w:p>
    <w:p w14:paraId="507578A7" w14:textId="77777777" w:rsidR="00875A62" w:rsidRDefault="00875A62" w:rsidP="00C021CE">
      <w:pPr>
        <w:spacing w:after="0"/>
        <w:rPr>
          <w:rFonts w:ascii="Arial" w:hAnsi="Arial" w:cs="Arial"/>
        </w:rPr>
      </w:pPr>
    </w:p>
    <w:p w14:paraId="5A53BC2C" w14:textId="57C3F842" w:rsidR="00C021CE" w:rsidRPr="004B5D77" w:rsidRDefault="00C021CE" w:rsidP="00C021CE">
      <w:pPr>
        <w:spacing w:after="0"/>
        <w:rPr>
          <w:rFonts w:ascii="Arial" w:hAnsi="Arial" w:cs="Arial"/>
        </w:rPr>
      </w:pPr>
      <w:bookmarkStart w:id="0" w:name="_Hlk128393380"/>
      <w:r>
        <w:rPr>
          <w:rFonts w:ascii="Arial" w:hAnsi="Arial" w:cs="Arial"/>
        </w:rPr>
        <w:t>Developed in partnership with Proterra, t</w:t>
      </w:r>
      <w:r w:rsidRPr="004B5D77">
        <w:rPr>
          <w:rFonts w:ascii="Arial" w:hAnsi="Arial" w:cs="Arial"/>
        </w:rPr>
        <w:t xml:space="preserve">he </w:t>
      </w:r>
      <w:r w:rsidRPr="004B5D77">
        <w:rPr>
          <w:rFonts w:ascii="Arial" w:hAnsi="Arial" w:cs="Arial"/>
          <w:b/>
          <w:bCs/>
        </w:rPr>
        <w:t xml:space="preserve">Proterra </w:t>
      </w:r>
      <w:r w:rsidR="0050693C">
        <w:rPr>
          <w:rFonts w:ascii="Arial" w:hAnsi="Arial" w:cs="Arial"/>
          <w:b/>
          <w:bCs/>
        </w:rPr>
        <w:t>portable charging</w:t>
      </w:r>
      <w:r w:rsidRPr="004B5D77">
        <w:rPr>
          <w:rFonts w:ascii="Arial" w:hAnsi="Arial" w:cs="Arial"/>
          <w:b/>
          <w:bCs/>
        </w:rPr>
        <w:t xml:space="preserve"> concept</w:t>
      </w:r>
      <w:r w:rsidRPr="004B5D77">
        <w:rPr>
          <w:rFonts w:ascii="Arial" w:hAnsi="Arial" w:cs="Arial"/>
        </w:rPr>
        <w:t xml:space="preserve">​ </w:t>
      </w:r>
      <w:r w:rsidR="00541367">
        <w:rPr>
          <w:rFonts w:ascii="Arial" w:hAnsi="Arial" w:cs="Arial"/>
        </w:rPr>
        <w:t xml:space="preserve">is </w:t>
      </w:r>
      <w:r w:rsidR="007F7F4D">
        <w:rPr>
          <w:rFonts w:ascii="Arial" w:hAnsi="Arial" w:cs="Arial"/>
        </w:rPr>
        <w:t>designed for use in</w:t>
      </w:r>
      <w:r w:rsidRPr="004B5D77">
        <w:rPr>
          <w:rFonts w:ascii="Arial" w:hAnsi="Arial" w:cs="Arial"/>
        </w:rPr>
        <w:t xml:space="preserve"> “off grid” locations or where site power is inaccessible or unreliable. </w:t>
      </w:r>
      <w:bookmarkEnd w:id="0"/>
    </w:p>
    <w:p w14:paraId="19E1BC1E" w14:textId="26541D6C" w:rsidR="00550D7D" w:rsidRDefault="00550D7D" w:rsidP="00F66C4D">
      <w:pPr>
        <w:spacing w:after="0"/>
        <w:rPr>
          <w:rFonts w:ascii="Arial" w:hAnsi="Arial" w:cs="Arial"/>
        </w:rPr>
      </w:pPr>
    </w:p>
    <w:p w14:paraId="03F97EBF" w14:textId="497F941F" w:rsidR="00550D7D" w:rsidRDefault="00043A83" w:rsidP="00F66C4D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E6254C9" wp14:editId="14131803">
                <wp:simplePos x="0" y="0"/>
                <wp:positionH relativeFrom="column">
                  <wp:posOffset>3426460</wp:posOffset>
                </wp:positionH>
                <wp:positionV relativeFrom="paragraph">
                  <wp:posOffset>1356995</wp:posOffset>
                </wp:positionV>
                <wp:extent cx="230378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F7905D" w14:textId="5AA63B63" w:rsidR="00043A83" w:rsidRPr="00872297" w:rsidRDefault="00043A83" w:rsidP="00043A83">
                            <w:pPr>
                              <w:pStyle w:val="Caption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t xml:space="preserve">Komatsu's portable charging concept for </w:t>
                            </w:r>
                            <w:proofErr w:type="gramStart"/>
                            <w:r>
                              <w:t>mini-excavator</w:t>
                            </w:r>
                            <w:proofErr w:type="gramEnd"/>
                            <w:r>
                              <w:t xml:space="preserve"> is a concept designed for environments without a power supply</w:t>
                            </w:r>
                            <w:r w:rsidR="00E65BC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254C9" id="Text Box 5" o:spid="_x0000_s1027" type="#_x0000_t202" style="position:absolute;margin-left:269.8pt;margin-top:106.85pt;width:181.4pt;height: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" stroked="f">
                <v:textbox style="mso-fit-shape-to-text:t" inset="0,0,0,0">
                  <w:txbxContent>
                    <w:p w14:paraId="4BF7905D" w14:textId="5AA63B63" w:rsidR="00043A83" w:rsidRPr="00872297" w:rsidRDefault="00043A83" w:rsidP="00043A83">
                      <w:pPr>
                        <w:pStyle w:val="Caption"/>
                        <w:rPr>
                          <w:rFonts w:ascii="Arial" w:hAnsi="Arial" w:cs="Arial"/>
                          <w:noProof/>
                        </w:rPr>
                      </w:pPr>
                      <w:r>
                        <w:t xml:space="preserve">Komatsu's portable charging concept for </w:t>
                      </w:r>
                      <w:proofErr w:type="gramStart"/>
                      <w:r>
                        <w:t>mini-excavator</w:t>
                      </w:r>
                      <w:proofErr w:type="gramEnd"/>
                      <w:r>
                        <w:t xml:space="preserve"> is a concept designed for environments without a power supply</w:t>
                      </w:r>
                      <w:r w:rsidR="00E65BCB"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0819FA01" wp14:editId="2974DC84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303780" cy="1295400"/>
            <wp:effectExtent l="0" t="0" r="1270" b="0"/>
            <wp:wrapTight wrapText="bothSides">
              <wp:wrapPolygon edited="0">
                <wp:start x="0" y="0"/>
                <wp:lineTo x="0" y="21282"/>
                <wp:lineTo x="21433" y="21282"/>
                <wp:lineTo x="21433" y="0"/>
                <wp:lineTo x="0" y="0"/>
              </wp:wrapPolygon>
            </wp:wrapTight>
            <wp:docPr id="4" name="Picture 4" descr="A picture containing floor, yellow, indoor, lawn m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loor, yellow, indoor, lawn mow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D7D" w:rsidRPr="00E9777B">
        <w:rPr>
          <w:rFonts w:ascii="Arial" w:hAnsi="Arial" w:cs="Arial"/>
        </w:rPr>
        <w:t xml:space="preserve">The </w:t>
      </w:r>
      <w:r w:rsidR="00E9777B" w:rsidRPr="00E9777B">
        <w:rPr>
          <w:rFonts w:ascii="Arial" w:hAnsi="Arial" w:cs="Arial"/>
          <w:b/>
          <w:bCs/>
        </w:rPr>
        <w:t xml:space="preserve">Komatsu </w:t>
      </w:r>
      <w:r w:rsidR="001B5A38">
        <w:rPr>
          <w:rFonts w:ascii="Arial" w:hAnsi="Arial" w:cs="Arial"/>
          <w:b/>
          <w:bCs/>
        </w:rPr>
        <w:t>portable charging</w:t>
      </w:r>
      <w:r w:rsidR="009D3A87">
        <w:rPr>
          <w:rFonts w:ascii="Arial" w:hAnsi="Arial" w:cs="Arial"/>
          <w:b/>
          <w:bCs/>
        </w:rPr>
        <w:t xml:space="preserve"> concept for </w:t>
      </w:r>
      <w:proofErr w:type="gramStart"/>
      <w:r w:rsidR="009D3A87">
        <w:rPr>
          <w:rFonts w:ascii="Arial" w:hAnsi="Arial" w:cs="Arial"/>
          <w:b/>
          <w:bCs/>
        </w:rPr>
        <w:t>mini-excavator</w:t>
      </w:r>
      <w:proofErr w:type="gramEnd"/>
      <w:r w:rsidR="002C0495">
        <w:rPr>
          <w:rFonts w:ascii="Arial" w:hAnsi="Arial" w:cs="Arial"/>
          <w:b/>
          <w:bCs/>
        </w:rPr>
        <w:t>,</w:t>
      </w:r>
      <w:r w:rsidR="00550D7D" w:rsidRPr="00057073">
        <w:rPr>
          <w:rFonts w:ascii="Arial" w:hAnsi="Arial" w:cs="Arial"/>
          <w:b/>
          <w:bCs/>
        </w:rPr>
        <w:t xml:space="preserve"> </w:t>
      </w:r>
      <w:r w:rsidR="00550D7D" w:rsidRPr="00550D7D">
        <w:rPr>
          <w:rFonts w:ascii="Arial" w:hAnsi="Arial" w:cs="Arial"/>
        </w:rPr>
        <w:t xml:space="preserve">exhibited as a charging solution concept </w:t>
      </w:r>
      <w:r w:rsidR="002C0495">
        <w:rPr>
          <w:rFonts w:ascii="Arial" w:hAnsi="Arial" w:cs="Arial"/>
        </w:rPr>
        <w:t>for</w:t>
      </w:r>
      <w:r w:rsidR="00550D7D" w:rsidRPr="00550D7D">
        <w:rPr>
          <w:rFonts w:ascii="Arial" w:hAnsi="Arial" w:cs="Arial"/>
        </w:rPr>
        <w:t xml:space="preserve"> environment</w:t>
      </w:r>
      <w:r w:rsidR="002C0495">
        <w:rPr>
          <w:rFonts w:ascii="Arial" w:hAnsi="Arial" w:cs="Arial"/>
        </w:rPr>
        <w:t>s</w:t>
      </w:r>
      <w:r w:rsidR="00550D7D" w:rsidRPr="00550D7D">
        <w:rPr>
          <w:rFonts w:ascii="Arial" w:hAnsi="Arial" w:cs="Arial"/>
        </w:rPr>
        <w:t xml:space="preserve"> without </w:t>
      </w:r>
      <w:r w:rsidR="002C0495">
        <w:rPr>
          <w:rFonts w:ascii="Arial" w:hAnsi="Arial" w:cs="Arial"/>
        </w:rPr>
        <w:t xml:space="preserve">a </w:t>
      </w:r>
      <w:r w:rsidR="00550D7D" w:rsidRPr="00550D7D">
        <w:rPr>
          <w:rFonts w:ascii="Arial" w:hAnsi="Arial" w:cs="Arial"/>
        </w:rPr>
        <w:t>power supply</w:t>
      </w:r>
      <w:r w:rsidR="002C0495">
        <w:rPr>
          <w:rFonts w:ascii="Arial" w:hAnsi="Arial" w:cs="Arial"/>
        </w:rPr>
        <w:t>,</w:t>
      </w:r>
      <w:r w:rsidR="00550D7D" w:rsidRPr="00550D7D">
        <w:rPr>
          <w:rFonts w:ascii="Arial" w:hAnsi="Arial" w:cs="Arial"/>
        </w:rPr>
        <w:t xml:space="preserve"> is </w:t>
      </w:r>
      <w:r w:rsidR="006A4787">
        <w:rPr>
          <w:rFonts w:ascii="Arial" w:hAnsi="Arial" w:cs="Arial"/>
        </w:rPr>
        <w:t xml:space="preserve">compactly </w:t>
      </w:r>
      <w:r w:rsidR="00550D7D" w:rsidRPr="00550D7D">
        <w:rPr>
          <w:rFonts w:ascii="Arial" w:hAnsi="Arial" w:cs="Arial"/>
        </w:rPr>
        <w:t xml:space="preserve">designed for easy transportation. </w:t>
      </w:r>
      <w:r w:rsidR="00CE5586">
        <w:rPr>
          <w:rFonts w:ascii="Arial" w:hAnsi="Arial" w:cs="Arial"/>
        </w:rPr>
        <w:t xml:space="preserve">In addition to charging </w:t>
      </w:r>
      <w:proofErr w:type="gramStart"/>
      <w:r w:rsidR="00CE5586">
        <w:rPr>
          <w:rFonts w:ascii="Arial" w:hAnsi="Arial" w:cs="Arial"/>
        </w:rPr>
        <w:t>mini-excavators</w:t>
      </w:r>
      <w:proofErr w:type="gramEnd"/>
      <w:r w:rsidR="00CE5586">
        <w:rPr>
          <w:rFonts w:ascii="Arial" w:hAnsi="Arial" w:cs="Arial"/>
        </w:rPr>
        <w:t xml:space="preserve">, it can also be used to charge </w:t>
      </w:r>
      <w:r w:rsidR="00550D7D" w:rsidRPr="00550D7D">
        <w:rPr>
          <w:rFonts w:ascii="Arial" w:hAnsi="Arial" w:cs="Arial"/>
        </w:rPr>
        <w:t>other electric equipment on the work site.</w:t>
      </w:r>
    </w:p>
    <w:p w14:paraId="21C6E3F6" w14:textId="77777777" w:rsidR="001B500F" w:rsidRDefault="001B500F" w:rsidP="00F66C4D">
      <w:pPr>
        <w:spacing w:after="0"/>
        <w:rPr>
          <w:rFonts w:ascii="Arial" w:hAnsi="Arial" w:cs="Arial"/>
        </w:rPr>
      </w:pPr>
    </w:p>
    <w:p w14:paraId="69B4F10B" w14:textId="11293BC1" w:rsidR="00F66C4D" w:rsidRPr="00565EC7" w:rsidRDefault="00F66C4D" w:rsidP="00F66C4D">
      <w:pPr>
        <w:spacing w:after="0"/>
        <w:rPr>
          <w:rFonts w:ascii="Arial" w:hAnsi="Arial" w:cs="Arial"/>
          <w:b/>
          <w:bCs/>
          <w:i/>
          <w:iCs/>
        </w:rPr>
      </w:pPr>
      <w:r w:rsidRPr="00565EC7">
        <w:rPr>
          <w:rFonts w:ascii="Arial" w:hAnsi="Arial" w:cs="Arial"/>
          <w:b/>
          <w:bCs/>
          <w:i/>
          <w:iCs/>
        </w:rPr>
        <w:t>HB3</w:t>
      </w:r>
      <w:r w:rsidR="00FB6A63" w:rsidRPr="00565EC7">
        <w:rPr>
          <w:rFonts w:ascii="Arial" w:hAnsi="Arial" w:cs="Arial"/>
          <w:b/>
          <w:bCs/>
          <w:i/>
          <w:iCs/>
        </w:rPr>
        <w:t>65</w:t>
      </w:r>
      <w:r w:rsidRPr="00565EC7">
        <w:rPr>
          <w:rFonts w:ascii="Arial" w:hAnsi="Arial" w:cs="Arial"/>
          <w:b/>
          <w:bCs/>
          <w:i/>
          <w:iCs/>
        </w:rPr>
        <w:t>LC-3 hybrid excavator</w:t>
      </w:r>
    </w:p>
    <w:p w14:paraId="50D2D56C" w14:textId="1FA958BA" w:rsidR="00FB6A63" w:rsidRPr="00F66C4D" w:rsidRDefault="00C87B19" w:rsidP="00F66C4D">
      <w:pPr>
        <w:spacing w:after="0"/>
        <w:rPr>
          <w:rFonts w:ascii="Arial" w:hAnsi="Arial" w:cs="Arial"/>
        </w:rPr>
      </w:pPr>
      <w:r w:rsidRPr="0E26619D">
        <w:rPr>
          <w:rFonts w:ascii="Arial" w:hAnsi="Arial" w:cs="Arial"/>
        </w:rPr>
        <w:t xml:space="preserve">Komatsu’s </w:t>
      </w:r>
      <w:r w:rsidR="007009C2" w:rsidRPr="0E26619D">
        <w:rPr>
          <w:rFonts w:ascii="Arial" w:hAnsi="Arial" w:cs="Arial"/>
        </w:rPr>
        <w:t xml:space="preserve">hybrid excavator </w:t>
      </w:r>
      <w:r w:rsidR="005C78F6" w:rsidRPr="0E26619D">
        <w:rPr>
          <w:rFonts w:ascii="Arial" w:hAnsi="Arial" w:cs="Arial"/>
        </w:rPr>
        <w:t xml:space="preserve">is designed to </w:t>
      </w:r>
      <w:r w:rsidR="007009C2" w:rsidRPr="0E26619D">
        <w:rPr>
          <w:rFonts w:ascii="Arial" w:hAnsi="Arial" w:cs="Arial"/>
        </w:rPr>
        <w:t xml:space="preserve">provide high production and efficiency with low fuel consumption. </w:t>
      </w:r>
      <w:r w:rsidR="00FB6A63" w:rsidRPr="0E26619D">
        <w:rPr>
          <w:rFonts w:ascii="Arial" w:hAnsi="Arial" w:cs="Arial"/>
        </w:rPr>
        <w:t>Engineered for productivity with</w:t>
      </w:r>
      <w:r w:rsidR="008B7FFE">
        <w:rPr>
          <w:rFonts w:ascii="Arial" w:hAnsi="Arial" w:cs="Arial"/>
        </w:rPr>
        <w:t xml:space="preserve"> a</w:t>
      </w:r>
      <w:r w:rsidR="00FB6A63" w:rsidRPr="0E26619D">
        <w:rPr>
          <w:rFonts w:ascii="Arial" w:hAnsi="Arial" w:cs="Arial"/>
        </w:rPr>
        <w:t xml:space="preserve"> </w:t>
      </w:r>
      <w:r w:rsidR="00903DA8">
        <w:rPr>
          <w:rFonts w:ascii="Arial" w:hAnsi="Arial" w:cs="Arial" w:hint="eastAsia"/>
          <w:lang w:eastAsia="ja-JP"/>
        </w:rPr>
        <w:t xml:space="preserve">Komatsu </w:t>
      </w:r>
      <w:r w:rsidR="00903DA8" w:rsidRPr="00903DA8">
        <w:rPr>
          <w:rFonts w:ascii="Arial" w:hAnsi="Arial" w:cs="Arial"/>
        </w:rPr>
        <w:t xml:space="preserve">hybrid </w:t>
      </w:r>
      <w:r w:rsidR="00FB6A63" w:rsidRPr="0E26619D">
        <w:rPr>
          <w:rFonts w:ascii="Arial" w:hAnsi="Arial" w:cs="Arial"/>
        </w:rPr>
        <w:t xml:space="preserve">system that can provide an additional 70 Hp on demand​, the HB365LC-3 allows operators to be up to 15% more productive in power mode, while its environmentally friendly operation offers up to 20% more fuel efficiency and 20% </w:t>
      </w:r>
      <w:r w:rsidR="006B389B" w:rsidRPr="0E26619D">
        <w:rPr>
          <w:rFonts w:ascii="Arial" w:hAnsi="Arial" w:cs="Arial"/>
        </w:rPr>
        <w:t xml:space="preserve">less </w:t>
      </w:r>
      <w:r w:rsidR="00FB6A63" w:rsidRPr="0E26619D">
        <w:rPr>
          <w:rFonts w:ascii="Arial" w:hAnsi="Arial" w:cs="Arial"/>
        </w:rPr>
        <w:t>CO2 emissions</w:t>
      </w:r>
      <w:r w:rsidR="00C34B86" w:rsidRPr="0E26619D">
        <w:rPr>
          <w:rFonts w:ascii="Arial" w:hAnsi="Arial" w:cs="Arial"/>
        </w:rPr>
        <w:t xml:space="preserve"> when compared to the </w:t>
      </w:r>
      <w:r w:rsidR="003E435F" w:rsidRPr="0E26619D">
        <w:rPr>
          <w:rFonts w:ascii="Arial" w:hAnsi="Arial" w:cs="Arial"/>
        </w:rPr>
        <w:t>PC360LC-11</w:t>
      </w:r>
      <w:r w:rsidR="00FB6A63" w:rsidRPr="0E26619D">
        <w:rPr>
          <w:rFonts w:ascii="Arial" w:hAnsi="Arial" w:cs="Arial"/>
        </w:rPr>
        <w:t>. ​</w:t>
      </w:r>
    </w:p>
    <w:p w14:paraId="2C3E07CF" w14:textId="62BE4A91" w:rsidR="00B03A76" w:rsidRDefault="00B03A76" w:rsidP="004B5D77">
      <w:pPr>
        <w:spacing w:after="0"/>
        <w:rPr>
          <w:rFonts w:ascii="Arial" w:hAnsi="Arial" w:cs="Arial"/>
        </w:rPr>
      </w:pPr>
    </w:p>
    <w:p w14:paraId="393F899F" w14:textId="3AEA21E2" w:rsidR="00B03A76" w:rsidRDefault="00B03A76" w:rsidP="004B5D77">
      <w:pPr>
        <w:spacing w:after="0"/>
        <w:rPr>
          <w:rFonts w:ascii="Arial" w:hAnsi="Arial" w:cs="Arial"/>
        </w:rPr>
      </w:pPr>
      <w:r w:rsidRPr="00F66C4D">
        <w:rPr>
          <w:rFonts w:ascii="Arial" w:hAnsi="Arial" w:cs="Arial"/>
        </w:rPr>
        <w:t xml:space="preserve">Development of these </w:t>
      </w:r>
      <w:r>
        <w:rPr>
          <w:rFonts w:ascii="Arial" w:hAnsi="Arial" w:cs="Arial"/>
        </w:rPr>
        <w:t>hybrid</w:t>
      </w:r>
      <w:r w:rsidR="005C2A1F">
        <w:rPr>
          <w:rFonts w:ascii="Arial" w:hAnsi="Arial" w:cs="Arial"/>
        </w:rPr>
        <w:t xml:space="preserve"> and</w:t>
      </w:r>
      <w:r w:rsidR="008410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electric machines and </w:t>
      </w:r>
      <w:r w:rsidR="00A004A7">
        <w:rPr>
          <w:rFonts w:ascii="Arial" w:hAnsi="Arial" w:cs="Arial"/>
        </w:rPr>
        <w:t>charging stations</w:t>
      </w:r>
      <w:r>
        <w:rPr>
          <w:rFonts w:ascii="Arial" w:hAnsi="Arial" w:cs="Arial"/>
        </w:rPr>
        <w:t xml:space="preserve"> </w:t>
      </w:r>
      <w:r w:rsidRPr="00F66C4D">
        <w:rPr>
          <w:rFonts w:ascii="Arial" w:hAnsi="Arial" w:cs="Arial"/>
        </w:rPr>
        <w:t>moves Komatsu closer to its global sustainability target of a 50% reduction in CO2 emissions by 2030 and complete carbon neutrality by 2050.</w:t>
      </w:r>
    </w:p>
    <w:p w14:paraId="4322C114" w14:textId="5D911CCD" w:rsidR="000B2208" w:rsidRDefault="000B2208" w:rsidP="004B5D77">
      <w:pPr>
        <w:spacing w:after="0"/>
        <w:rPr>
          <w:rFonts w:ascii="Arial" w:hAnsi="Arial" w:cs="Arial"/>
        </w:rPr>
      </w:pPr>
    </w:p>
    <w:p w14:paraId="5B6C8218" w14:textId="77777777" w:rsidR="000B2208" w:rsidRPr="00CB0052" w:rsidRDefault="000B2208" w:rsidP="000B2208">
      <w:pPr>
        <w:spacing w:after="0"/>
        <w:rPr>
          <w:rStyle w:val="None"/>
          <w:rFonts w:ascii="Arial" w:hAnsi="Arial" w:cs="Arial"/>
          <w:b/>
          <w:bCs/>
          <w:i/>
          <w:iCs/>
        </w:rPr>
      </w:pPr>
      <w:r w:rsidRPr="00CB0052">
        <w:rPr>
          <w:rStyle w:val="None"/>
          <w:rFonts w:ascii="Arial" w:hAnsi="Arial" w:cs="Arial"/>
          <w:b/>
          <w:bCs/>
          <w:i/>
          <w:iCs/>
        </w:rPr>
        <w:t>MVT-II 600</w:t>
      </w:r>
    </w:p>
    <w:p w14:paraId="230AD1CC" w14:textId="34F9757A" w:rsidR="000B2208" w:rsidRPr="004B5D77" w:rsidRDefault="000B2208" w:rsidP="000B2208">
      <w:pPr>
        <w:spacing w:after="0"/>
        <w:rPr>
          <w:rStyle w:val="None"/>
          <w:rFonts w:ascii="Arial" w:hAnsi="Arial" w:cs="Arial"/>
        </w:rPr>
      </w:pPr>
      <w:r w:rsidRPr="000B2208">
        <w:rPr>
          <w:rStyle w:val="None"/>
          <w:rFonts w:ascii="Arial" w:hAnsi="Arial" w:cs="Arial"/>
        </w:rPr>
        <w:t xml:space="preserve">To reduce waste in the </w:t>
      </w:r>
      <w:r w:rsidR="00513DAC">
        <w:rPr>
          <w:rStyle w:val="None"/>
          <w:rFonts w:ascii="Arial" w:hAnsi="Arial" w:cs="Arial"/>
        </w:rPr>
        <w:t xml:space="preserve">quarry and </w:t>
      </w:r>
      <w:r w:rsidRPr="000B2208">
        <w:rPr>
          <w:rStyle w:val="None"/>
          <w:rFonts w:ascii="Arial" w:hAnsi="Arial" w:cs="Arial"/>
        </w:rPr>
        <w:t>cement production process, the newly rebranded Komatsu MVT-II-600 crusher uses tension</w:t>
      </w:r>
      <w:r>
        <w:rPr>
          <w:rStyle w:val="None"/>
          <w:rFonts w:ascii="Arial" w:hAnsi="Arial" w:cs="Arial"/>
        </w:rPr>
        <w:t xml:space="preserve"> — </w:t>
      </w:r>
      <w:r w:rsidRPr="000B2208">
        <w:rPr>
          <w:rStyle w:val="None"/>
          <w:rFonts w:ascii="Arial" w:hAnsi="Arial" w:cs="Arial"/>
        </w:rPr>
        <w:t xml:space="preserve">rather than </w:t>
      </w:r>
      <w:r>
        <w:rPr>
          <w:rStyle w:val="None"/>
          <w:rFonts w:ascii="Arial" w:hAnsi="Arial" w:cs="Arial"/>
        </w:rPr>
        <w:t xml:space="preserve">compression — </w:t>
      </w:r>
      <w:r w:rsidRPr="000B2208">
        <w:rPr>
          <w:rStyle w:val="None"/>
          <w:rFonts w:ascii="Arial" w:hAnsi="Arial" w:cs="Arial"/>
        </w:rPr>
        <w:t xml:space="preserve">which </w:t>
      </w:r>
      <w:r>
        <w:rPr>
          <w:rStyle w:val="None"/>
          <w:rFonts w:ascii="Arial" w:hAnsi="Arial" w:cs="Arial"/>
        </w:rPr>
        <w:t>can save</w:t>
      </w:r>
      <w:r w:rsidRPr="000B2208">
        <w:rPr>
          <w:rStyle w:val="None"/>
          <w:rFonts w:ascii="Arial" w:hAnsi="Arial" w:cs="Arial"/>
        </w:rPr>
        <w:t xml:space="preserve"> significant energy, in some cases up to 90%. The c</w:t>
      </w:r>
      <w:r w:rsidR="00513DAC">
        <w:rPr>
          <w:rStyle w:val="None"/>
          <w:rFonts w:ascii="Arial" w:hAnsi="Arial" w:cs="Arial"/>
        </w:rPr>
        <w:t>rushing</w:t>
      </w:r>
      <w:r w:rsidRPr="000B2208">
        <w:rPr>
          <w:rStyle w:val="None"/>
          <w:rFonts w:ascii="Arial" w:hAnsi="Arial" w:cs="Arial"/>
        </w:rPr>
        <w:t xml:space="preserve"> process of the MVT-II 600 </w:t>
      </w:r>
      <w:r w:rsidR="00211BB4" w:rsidRPr="000B2208">
        <w:rPr>
          <w:rStyle w:val="None"/>
          <w:rFonts w:ascii="Arial" w:hAnsi="Arial" w:cs="Arial"/>
        </w:rPr>
        <w:t>us</w:t>
      </w:r>
      <w:r w:rsidR="00211BB4">
        <w:rPr>
          <w:rStyle w:val="None"/>
          <w:rFonts w:ascii="Arial" w:hAnsi="Arial" w:cs="Arial"/>
        </w:rPr>
        <w:t>es</w:t>
      </w:r>
      <w:r w:rsidRPr="000B2208">
        <w:rPr>
          <w:rStyle w:val="None"/>
          <w:rFonts w:ascii="Arial" w:hAnsi="Arial" w:cs="Arial"/>
        </w:rPr>
        <w:t xml:space="preserve"> matched velocity technology (MVT) </w:t>
      </w:r>
      <w:r>
        <w:rPr>
          <w:rStyle w:val="None"/>
          <w:rFonts w:ascii="Arial" w:hAnsi="Arial" w:cs="Arial"/>
        </w:rPr>
        <w:t xml:space="preserve">to </w:t>
      </w:r>
      <w:r w:rsidRPr="000B2208">
        <w:rPr>
          <w:rStyle w:val="None"/>
          <w:rFonts w:ascii="Arial" w:hAnsi="Arial" w:cs="Arial"/>
        </w:rPr>
        <w:t>generate far less fine</w:t>
      </w:r>
      <w:r w:rsidR="00513DAC">
        <w:rPr>
          <w:rStyle w:val="None"/>
          <w:rFonts w:ascii="Arial" w:hAnsi="Arial" w:cs="Arial"/>
        </w:rPr>
        <w:t>s in product</w:t>
      </w:r>
      <w:r w:rsidRPr="000B2208">
        <w:rPr>
          <w:rStyle w:val="None"/>
          <w:rFonts w:ascii="Arial" w:hAnsi="Arial" w:cs="Arial"/>
        </w:rPr>
        <w:t xml:space="preserve">, </w:t>
      </w:r>
      <w:r w:rsidR="00513DAC">
        <w:rPr>
          <w:rStyle w:val="None"/>
          <w:rFonts w:ascii="Arial" w:hAnsi="Arial" w:cs="Arial"/>
        </w:rPr>
        <w:t>to help</w:t>
      </w:r>
      <w:r w:rsidRPr="000B2208">
        <w:rPr>
          <w:rStyle w:val="None"/>
          <w:rFonts w:ascii="Arial" w:hAnsi="Arial" w:cs="Arial"/>
        </w:rPr>
        <w:t xml:space="preserve"> minimize waste production and disposal costs. </w:t>
      </w:r>
      <w:r w:rsidR="00513DAC">
        <w:rPr>
          <w:rStyle w:val="None"/>
          <w:rFonts w:ascii="Arial" w:hAnsi="Arial" w:cs="Arial"/>
        </w:rPr>
        <w:t xml:space="preserve">Engineered for lower cost of ownership, </w:t>
      </w:r>
      <w:r w:rsidR="00513DAC" w:rsidRPr="00513DAC">
        <w:rPr>
          <w:rStyle w:val="None"/>
          <w:rFonts w:ascii="Arial" w:hAnsi="Arial" w:cs="Arial"/>
        </w:rPr>
        <w:t>the MVT-II 600 has replaceable bolt-on roll wear segments and durable pick technology</w:t>
      </w:r>
      <w:r w:rsidR="00513DAC">
        <w:rPr>
          <w:rStyle w:val="None"/>
          <w:rFonts w:ascii="Arial" w:hAnsi="Arial" w:cs="Arial"/>
        </w:rPr>
        <w:t xml:space="preserve"> and </w:t>
      </w:r>
      <w:r w:rsidR="00513DAC" w:rsidRPr="00513DAC">
        <w:rPr>
          <w:rStyle w:val="None"/>
          <w:rFonts w:ascii="Arial" w:hAnsi="Arial" w:cs="Arial"/>
        </w:rPr>
        <w:t>can consistently crush a combination of hard abrasive minerals and wet sticky material.</w:t>
      </w:r>
    </w:p>
    <w:p w14:paraId="3FB05C53" w14:textId="6BD2BA2F" w:rsidR="00952664" w:rsidRPr="00885CA2" w:rsidRDefault="00952664" w:rsidP="00F66C4D">
      <w:pPr>
        <w:spacing w:after="0" w:line="240" w:lineRule="auto"/>
        <w:rPr>
          <w:rFonts w:cstheme="minorHAnsi"/>
          <w:bCs/>
        </w:rPr>
      </w:pPr>
    </w:p>
    <w:p w14:paraId="0E3D9BB5" w14:textId="1A11D1DA" w:rsidR="00952664" w:rsidRPr="00885CA2" w:rsidRDefault="00952664" w:rsidP="00F66C4D">
      <w:pPr>
        <w:spacing w:after="0" w:line="240" w:lineRule="auto"/>
        <w:rPr>
          <w:rFonts w:cstheme="minorHAnsi"/>
          <w:b/>
        </w:rPr>
      </w:pPr>
      <w:r w:rsidRPr="00885CA2">
        <w:rPr>
          <w:rFonts w:cstheme="minorHAnsi"/>
          <w:bCs/>
        </w:rPr>
        <w:t xml:space="preserve">With the right products, latest technologies, actionable data and dealer support, Komatsu and its customers can create value together. </w:t>
      </w:r>
      <w:r w:rsidR="000D1B5A" w:rsidRPr="00885CA2">
        <w:rPr>
          <w:rFonts w:cstheme="minorHAnsi"/>
          <w:bCs/>
        </w:rPr>
        <w:t xml:space="preserve">To learn more, </w:t>
      </w:r>
      <w:r w:rsidR="0051428E" w:rsidRPr="00885CA2">
        <w:rPr>
          <w:rFonts w:cstheme="minorHAnsi"/>
          <w:bCs/>
        </w:rPr>
        <w:t>visit Komatsu</w:t>
      </w:r>
      <w:r w:rsidRPr="00885CA2">
        <w:rPr>
          <w:rFonts w:cstheme="minorHAnsi"/>
          <w:bCs/>
        </w:rPr>
        <w:t xml:space="preserve"> </w:t>
      </w:r>
      <w:r w:rsidR="001E2DCF" w:rsidRPr="00885CA2">
        <w:rPr>
          <w:rFonts w:cstheme="minorHAnsi"/>
          <w:bCs/>
        </w:rPr>
        <w:t>at</w:t>
      </w:r>
      <w:r w:rsidR="0075767D" w:rsidRPr="00885CA2">
        <w:rPr>
          <w:rFonts w:cstheme="minorHAnsi"/>
          <w:bCs/>
        </w:rPr>
        <w:t xml:space="preserve"> CONEXPO </w:t>
      </w:r>
      <w:r w:rsidR="0075767D" w:rsidRPr="00885CA2">
        <w:rPr>
          <w:rFonts w:cstheme="minorHAnsi"/>
          <w:bCs/>
        </w:rPr>
        <w:lastRenderedPageBreak/>
        <w:t>2023 at</w:t>
      </w:r>
      <w:r w:rsidR="001E2DCF" w:rsidRPr="00885CA2">
        <w:rPr>
          <w:rFonts w:cstheme="minorHAnsi"/>
          <w:bCs/>
        </w:rPr>
        <w:t xml:space="preserve"> </w:t>
      </w:r>
      <w:r w:rsidRPr="00885CA2">
        <w:rPr>
          <w:rFonts w:cstheme="minorHAnsi"/>
          <w:bCs/>
        </w:rPr>
        <w:t>booth</w:t>
      </w:r>
      <w:r w:rsidR="00605E2D" w:rsidRPr="00885CA2">
        <w:rPr>
          <w:rFonts w:cstheme="minorHAnsi"/>
          <w:bCs/>
        </w:rPr>
        <w:t xml:space="preserve"> </w:t>
      </w:r>
      <w:r w:rsidRPr="00885CA2">
        <w:rPr>
          <w:rFonts w:cstheme="minorHAnsi"/>
        </w:rPr>
        <w:t>W42044.</w:t>
      </w:r>
      <w:r w:rsidR="00EA6B8C" w:rsidRPr="00885CA2">
        <w:rPr>
          <w:rFonts w:cstheme="minorHAnsi"/>
        </w:rPr>
        <w:t xml:space="preserve"> Additional </w:t>
      </w:r>
      <w:r w:rsidR="008751FD" w:rsidRPr="00885CA2">
        <w:rPr>
          <w:rFonts w:cstheme="minorHAnsi"/>
        </w:rPr>
        <w:t xml:space="preserve">products and </w:t>
      </w:r>
      <w:r w:rsidR="00EA6B8C" w:rsidRPr="00885CA2">
        <w:rPr>
          <w:rFonts w:cstheme="minorHAnsi"/>
        </w:rPr>
        <w:t>solutions will be highlighted at neighboring booths for Hensley Industries (</w:t>
      </w:r>
      <w:r w:rsidR="00806D87" w:rsidRPr="00885CA2">
        <w:rPr>
          <w:rFonts w:cstheme="minorHAnsi"/>
        </w:rPr>
        <w:t>W42028</w:t>
      </w:r>
      <w:r w:rsidR="00EA6B8C" w:rsidRPr="00885CA2">
        <w:rPr>
          <w:rFonts w:cstheme="minorHAnsi"/>
        </w:rPr>
        <w:t>),</w:t>
      </w:r>
      <w:r w:rsidR="00806D87" w:rsidRPr="00885CA2">
        <w:rPr>
          <w:rFonts w:cstheme="minorHAnsi"/>
        </w:rPr>
        <w:t xml:space="preserve"> and </w:t>
      </w:r>
      <w:proofErr w:type="spellStart"/>
      <w:r w:rsidR="00806D87" w:rsidRPr="00885CA2">
        <w:rPr>
          <w:rFonts w:cstheme="minorHAnsi"/>
        </w:rPr>
        <w:t>Montabert</w:t>
      </w:r>
      <w:proofErr w:type="spellEnd"/>
      <w:r w:rsidR="00806D87" w:rsidRPr="00885CA2">
        <w:rPr>
          <w:rFonts w:cstheme="minorHAnsi"/>
        </w:rPr>
        <w:t xml:space="preserve"> (W42229</w:t>
      </w:r>
      <w:r w:rsidR="008751FD" w:rsidRPr="00885CA2">
        <w:rPr>
          <w:rFonts w:cstheme="minorHAnsi"/>
        </w:rPr>
        <w:t>),</w:t>
      </w:r>
      <w:r w:rsidR="00EA6B8C" w:rsidRPr="00885CA2">
        <w:rPr>
          <w:rFonts w:cstheme="minorHAnsi"/>
        </w:rPr>
        <w:t xml:space="preserve"> both Komatsu subsidiaries.</w:t>
      </w:r>
    </w:p>
    <w:p w14:paraId="7A7FCF0B" w14:textId="77777777" w:rsidR="00A7707A" w:rsidRPr="00885CA2" w:rsidRDefault="00A7707A" w:rsidP="00F66C4D">
      <w:pPr>
        <w:spacing w:after="0" w:line="240" w:lineRule="auto"/>
        <w:rPr>
          <w:rFonts w:cstheme="minorHAnsi"/>
          <w:b/>
        </w:rPr>
      </w:pPr>
    </w:p>
    <w:p w14:paraId="1CAE85D7" w14:textId="77777777" w:rsidR="00405F38" w:rsidRPr="00885CA2" w:rsidRDefault="00BD4655" w:rsidP="00F66C4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85CA2">
        <w:rPr>
          <w:rFonts w:cstheme="minorHAnsi"/>
          <w:b/>
        </w:rPr>
        <w:t>About Komatsu</w:t>
      </w:r>
    </w:p>
    <w:p w14:paraId="001B5268" w14:textId="7BC3AC1B" w:rsidR="00231132" w:rsidRPr="00885CA2" w:rsidRDefault="004678C6" w:rsidP="00F66C4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85CA2">
        <w:rPr>
          <w:rFonts w:cstheme="minorHAnsi"/>
        </w:rPr>
        <w:t xml:space="preserve">Komatsu develops and supplies technologies, equipment and services for the construction, mining, forklift, industrial and forestry markets. For a century, the company has been creating value for its customers through manufacturing and technology innovation, partnering with others to empower a sustainable future where people, business and the planet thrive together. Front-line industries worldwide use Komatsu solutions to develop modern infrastructure, extract fundamental minerals, maintain </w:t>
      </w:r>
      <w:proofErr w:type="gramStart"/>
      <w:r w:rsidRPr="00885CA2">
        <w:rPr>
          <w:rFonts w:cstheme="minorHAnsi"/>
        </w:rPr>
        <w:t>forests</w:t>
      </w:r>
      <w:proofErr w:type="gramEnd"/>
      <w:r w:rsidRPr="00885CA2">
        <w:rPr>
          <w:rFonts w:cstheme="minorHAnsi"/>
        </w:rPr>
        <w:t xml:space="preserve"> and create consumer products. The company's global service and distributor networks support customer operations to enhance safety and productivity while optimizing performance</w:t>
      </w:r>
      <w:r w:rsidR="00BD4655" w:rsidRPr="00885CA2">
        <w:rPr>
          <w:rFonts w:cstheme="minorHAnsi"/>
        </w:rPr>
        <w:t>.</w:t>
      </w:r>
    </w:p>
    <w:p w14:paraId="255C13D0" w14:textId="77777777" w:rsidR="00231132" w:rsidRPr="00885CA2" w:rsidRDefault="00231132" w:rsidP="00F66C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8AD2C1" w14:textId="667D56EF" w:rsidR="000614AA" w:rsidRPr="00885CA2" w:rsidRDefault="000614AA" w:rsidP="00F66C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5CA2">
        <w:rPr>
          <w:rFonts w:cstheme="minorHAnsi"/>
        </w:rPr>
        <w:t xml:space="preserve">To learn more, visit </w:t>
      </w:r>
      <w:hyperlink r:id="rId15" w:history="1">
        <w:r w:rsidRPr="00885CA2">
          <w:rPr>
            <w:rStyle w:val="Hyperlink"/>
            <w:rFonts w:cstheme="minorHAnsi"/>
          </w:rPr>
          <w:t>www.komatsu.com</w:t>
        </w:r>
      </w:hyperlink>
      <w:r w:rsidRPr="00885CA2">
        <w:rPr>
          <w:rFonts w:cstheme="minorHAnsi"/>
        </w:rPr>
        <w:t xml:space="preserve"> </w:t>
      </w:r>
    </w:p>
    <w:p w14:paraId="717CF267" w14:textId="616C429E" w:rsidR="00484F74" w:rsidRPr="00885CA2" w:rsidRDefault="00484F74" w:rsidP="00F66C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448224" w14:textId="1C267A0C" w:rsidR="00484F74" w:rsidRPr="00885CA2" w:rsidRDefault="00484F74" w:rsidP="00F66C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85CA2">
        <w:rPr>
          <w:rFonts w:cstheme="minorHAnsi"/>
        </w:rPr>
        <w:t xml:space="preserve"># </w:t>
      </w:r>
      <w:r w:rsidR="00802663" w:rsidRPr="00885CA2">
        <w:rPr>
          <w:rFonts w:cstheme="minorHAnsi"/>
        </w:rPr>
        <w:t xml:space="preserve"> </w:t>
      </w:r>
      <w:r w:rsidRPr="00885CA2">
        <w:rPr>
          <w:rFonts w:cstheme="minorHAnsi"/>
        </w:rPr>
        <w:t xml:space="preserve"># </w:t>
      </w:r>
      <w:r w:rsidR="00802663" w:rsidRPr="00885CA2">
        <w:rPr>
          <w:rFonts w:cstheme="minorHAnsi"/>
        </w:rPr>
        <w:t xml:space="preserve"> </w:t>
      </w:r>
      <w:r w:rsidRPr="00885CA2">
        <w:rPr>
          <w:rFonts w:cstheme="minorHAnsi"/>
        </w:rPr>
        <w:t>#</w:t>
      </w:r>
    </w:p>
    <w:sectPr w:rsidR="00484F74" w:rsidRPr="00885CA2" w:rsidSect="001B1DE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C2E3" w14:textId="77777777" w:rsidR="000159FE" w:rsidRDefault="000159FE" w:rsidP="009B2C97">
      <w:pPr>
        <w:spacing w:after="0" w:line="240" w:lineRule="auto"/>
      </w:pPr>
      <w:r>
        <w:separator/>
      </w:r>
    </w:p>
  </w:endnote>
  <w:endnote w:type="continuationSeparator" w:id="0">
    <w:p w14:paraId="684AF062" w14:textId="77777777" w:rsidR="000159FE" w:rsidRDefault="000159FE" w:rsidP="009B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B7BF" w14:textId="77777777" w:rsidR="000159FE" w:rsidRDefault="000159FE" w:rsidP="009B2C97">
      <w:pPr>
        <w:spacing w:after="0" w:line="240" w:lineRule="auto"/>
      </w:pPr>
      <w:r>
        <w:separator/>
      </w:r>
    </w:p>
  </w:footnote>
  <w:footnote w:type="continuationSeparator" w:id="0">
    <w:p w14:paraId="4C956E30" w14:textId="77777777" w:rsidR="000159FE" w:rsidRDefault="000159FE" w:rsidP="009B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450853">
    <w:abstractNumId w:val="6"/>
  </w:num>
  <w:num w:numId="2" w16cid:durableId="31461274">
    <w:abstractNumId w:val="6"/>
  </w:num>
  <w:num w:numId="3" w16cid:durableId="635454170">
    <w:abstractNumId w:val="3"/>
  </w:num>
  <w:num w:numId="4" w16cid:durableId="888495688">
    <w:abstractNumId w:val="7"/>
  </w:num>
  <w:num w:numId="5" w16cid:durableId="755590999">
    <w:abstractNumId w:val="5"/>
  </w:num>
  <w:num w:numId="6" w16cid:durableId="1086540157">
    <w:abstractNumId w:val="10"/>
  </w:num>
  <w:num w:numId="7" w16cid:durableId="1670135666">
    <w:abstractNumId w:val="13"/>
  </w:num>
  <w:num w:numId="8" w16cid:durableId="593133122">
    <w:abstractNumId w:val="17"/>
  </w:num>
  <w:num w:numId="9" w16cid:durableId="559094629">
    <w:abstractNumId w:val="8"/>
  </w:num>
  <w:num w:numId="10" w16cid:durableId="1504659647">
    <w:abstractNumId w:val="4"/>
  </w:num>
  <w:num w:numId="11" w16cid:durableId="871914441">
    <w:abstractNumId w:val="9"/>
  </w:num>
  <w:num w:numId="12" w16cid:durableId="879708845">
    <w:abstractNumId w:val="11"/>
  </w:num>
  <w:num w:numId="13" w16cid:durableId="1025250469">
    <w:abstractNumId w:val="19"/>
  </w:num>
  <w:num w:numId="14" w16cid:durableId="43068675">
    <w:abstractNumId w:val="15"/>
  </w:num>
  <w:num w:numId="15" w16cid:durableId="1469083003">
    <w:abstractNumId w:val="1"/>
  </w:num>
  <w:num w:numId="16" w16cid:durableId="1889104720">
    <w:abstractNumId w:val="12"/>
  </w:num>
  <w:num w:numId="17" w16cid:durableId="1657567661">
    <w:abstractNumId w:val="2"/>
  </w:num>
  <w:num w:numId="18" w16cid:durableId="409010324">
    <w:abstractNumId w:val="14"/>
  </w:num>
  <w:num w:numId="19" w16cid:durableId="379063637">
    <w:abstractNumId w:val="16"/>
  </w:num>
  <w:num w:numId="20" w16cid:durableId="1490319270">
    <w:abstractNumId w:val="18"/>
  </w:num>
  <w:num w:numId="21" w16cid:durableId="41729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2255"/>
    <w:rsid w:val="00007AD6"/>
    <w:rsid w:val="000159FE"/>
    <w:rsid w:val="0002659A"/>
    <w:rsid w:val="00027E31"/>
    <w:rsid w:val="00036571"/>
    <w:rsid w:val="00037131"/>
    <w:rsid w:val="00043A83"/>
    <w:rsid w:val="00044C28"/>
    <w:rsid w:val="00054D32"/>
    <w:rsid w:val="00057073"/>
    <w:rsid w:val="000614AA"/>
    <w:rsid w:val="00065C1E"/>
    <w:rsid w:val="000700C7"/>
    <w:rsid w:val="00070BD9"/>
    <w:rsid w:val="00094396"/>
    <w:rsid w:val="0009570B"/>
    <w:rsid w:val="00097ACD"/>
    <w:rsid w:val="000A5E43"/>
    <w:rsid w:val="000B2208"/>
    <w:rsid w:val="000B3146"/>
    <w:rsid w:val="000C54AD"/>
    <w:rsid w:val="000C5EA5"/>
    <w:rsid w:val="000D1B5A"/>
    <w:rsid w:val="000D3C39"/>
    <w:rsid w:val="000E145A"/>
    <w:rsid w:val="000E6014"/>
    <w:rsid w:val="000E6ECF"/>
    <w:rsid w:val="000F4904"/>
    <w:rsid w:val="000F7CE4"/>
    <w:rsid w:val="0010163E"/>
    <w:rsid w:val="0010233D"/>
    <w:rsid w:val="00106379"/>
    <w:rsid w:val="00107C37"/>
    <w:rsid w:val="00115F6F"/>
    <w:rsid w:val="001160CA"/>
    <w:rsid w:val="00116B7D"/>
    <w:rsid w:val="0012034B"/>
    <w:rsid w:val="0012199E"/>
    <w:rsid w:val="0012469A"/>
    <w:rsid w:val="001300AB"/>
    <w:rsid w:val="0013013A"/>
    <w:rsid w:val="00132D74"/>
    <w:rsid w:val="0013682A"/>
    <w:rsid w:val="001457A8"/>
    <w:rsid w:val="00147176"/>
    <w:rsid w:val="00172515"/>
    <w:rsid w:val="00172F1D"/>
    <w:rsid w:val="00174ADC"/>
    <w:rsid w:val="00174CFB"/>
    <w:rsid w:val="001844FA"/>
    <w:rsid w:val="00191994"/>
    <w:rsid w:val="00193708"/>
    <w:rsid w:val="001B1DE3"/>
    <w:rsid w:val="001B500F"/>
    <w:rsid w:val="001B5A38"/>
    <w:rsid w:val="001C2781"/>
    <w:rsid w:val="001C2963"/>
    <w:rsid w:val="001C6AE4"/>
    <w:rsid w:val="001D2E6D"/>
    <w:rsid w:val="001E2DCF"/>
    <w:rsid w:val="001E6C1B"/>
    <w:rsid w:val="001F3BC7"/>
    <w:rsid w:val="001F6970"/>
    <w:rsid w:val="001F6EBA"/>
    <w:rsid w:val="00202C46"/>
    <w:rsid w:val="002035BF"/>
    <w:rsid w:val="00211AEA"/>
    <w:rsid w:val="00211BB4"/>
    <w:rsid w:val="00212DF5"/>
    <w:rsid w:val="002156AE"/>
    <w:rsid w:val="00216547"/>
    <w:rsid w:val="00224704"/>
    <w:rsid w:val="00231132"/>
    <w:rsid w:val="00237BBB"/>
    <w:rsid w:val="00245AD2"/>
    <w:rsid w:val="0025440D"/>
    <w:rsid w:val="00254BCD"/>
    <w:rsid w:val="00266796"/>
    <w:rsid w:val="00271CF8"/>
    <w:rsid w:val="0027294D"/>
    <w:rsid w:val="002775B3"/>
    <w:rsid w:val="00277E5D"/>
    <w:rsid w:val="00280153"/>
    <w:rsid w:val="0028229A"/>
    <w:rsid w:val="00284FFC"/>
    <w:rsid w:val="00296B7A"/>
    <w:rsid w:val="002B39C8"/>
    <w:rsid w:val="002B51D3"/>
    <w:rsid w:val="002B6DCB"/>
    <w:rsid w:val="002C0495"/>
    <w:rsid w:val="002C7BB6"/>
    <w:rsid w:val="002D0D42"/>
    <w:rsid w:val="002D44BD"/>
    <w:rsid w:val="002D4AEC"/>
    <w:rsid w:val="002E1193"/>
    <w:rsid w:val="002E18B5"/>
    <w:rsid w:val="002E46C8"/>
    <w:rsid w:val="002F009D"/>
    <w:rsid w:val="002F2DFA"/>
    <w:rsid w:val="00302114"/>
    <w:rsid w:val="00302A7B"/>
    <w:rsid w:val="003033E5"/>
    <w:rsid w:val="00307DED"/>
    <w:rsid w:val="00317B1E"/>
    <w:rsid w:val="003258A2"/>
    <w:rsid w:val="00333AA5"/>
    <w:rsid w:val="00334822"/>
    <w:rsid w:val="00350C73"/>
    <w:rsid w:val="00351051"/>
    <w:rsid w:val="00351EF9"/>
    <w:rsid w:val="00352040"/>
    <w:rsid w:val="00360C56"/>
    <w:rsid w:val="0037389D"/>
    <w:rsid w:val="003853EB"/>
    <w:rsid w:val="00386120"/>
    <w:rsid w:val="00387C9F"/>
    <w:rsid w:val="00387F07"/>
    <w:rsid w:val="003953DD"/>
    <w:rsid w:val="0039686C"/>
    <w:rsid w:val="003A6441"/>
    <w:rsid w:val="003B4310"/>
    <w:rsid w:val="003B5D7F"/>
    <w:rsid w:val="003C4ED4"/>
    <w:rsid w:val="003D4C01"/>
    <w:rsid w:val="003D50EB"/>
    <w:rsid w:val="003E0C3D"/>
    <w:rsid w:val="003E1895"/>
    <w:rsid w:val="003E435F"/>
    <w:rsid w:val="003E7CE7"/>
    <w:rsid w:val="00400435"/>
    <w:rsid w:val="00404700"/>
    <w:rsid w:val="00405F38"/>
    <w:rsid w:val="0040666E"/>
    <w:rsid w:val="004363E3"/>
    <w:rsid w:val="00456887"/>
    <w:rsid w:val="004604B9"/>
    <w:rsid w:val="00465978"/>
    <w:rsid w:val="004678C6"/>
    <w:rsid w:val="004837EC"/>
    <w:rsid w:val="00484F74"/>
    <w:rsid w:val="00485EF7"/>
    <w:rsid w:val="004950CD"/>
    <w:rsid w:val="004A4AA8"/>
    <w:rsid w:val="004A6C77"/>
    <w:rsid w:val="004B5D77"/>
    <w:rsid w:val="004C16D0"/>
    <w:rsid w:val="004C2652"/>
    <w:rsid w:val="004C7BDC"/>
    <w:rsid w:val="004C7FBD"/>
    <w:rsid w:val="004F071D"/>
    <w:rsid w:val="004F124F"/>
    <w:rsid w:val="004F181D"/>
    <w:rsid w:val="004F5032"/>
    <w:rsid w:val="00501306"/>
    <w:rsid w:val="00502D5E"/>
    <w:rsid w:val="005047A5"/>
    <w:rsid w:val="00505D9B"/>
    <w:rsid w:val="0050693C"/>
    <w:rsid w:val="00507CAB"/>
    <w:rsid w:val="0051070F"/>
    <w:rsid w:val="00510EEB"/>
    <w:rsid w:val="00513DAC"/>
    <w:rsid w:val="00513F1E"/>
    <w:rsid w:val="0051428E"/>
    <w:rsid w:val="0051702F"/>
    <w:rsid w:val="005202A0"/>
    <w:rsid w:val="00521746"/>
    <w:rsid w:val="00541367"/>
    <w:rsid w:val="0054296F"/>
    <w:rsid w:val="00550D7D"/>
    <w:rsid w:val="0055505B"/>
    <w:rsid w:val="00565EC7"/>
    <w:rsid w:val="00570B70"/>
    <w:rsid w:val="00594A54"/>
    <w:rsid w:val="005A1520"/>
    <w:rsid w:val="005A38AD"/>
    <w:rsid w:val="005A3CEE"/>
    <w:rsid w:val="005B37B2"/>
    <w:rsid w:val="005B5047"/>
    <w:rsid w:val="005C1C17"/>
    <w:rsid w:val="005C222B"/>
    <w:rsid w:val="005C2A1F"/>
    <w:rsid w:val="005C49BA"/>
    <w:rsid w:val="005C7546"/>
    <w:rsid w:val="005C78F6"/>
    <w:rsid w:val="005D276B"/>
    <w:rsid w:val="005D35E1"/>
    <w:rsid w:val="005D5090"/>
    <w:rsid w:val="005E1347"/>
    <w:rsid w:val="005E3849"/>
    <w:rsid w:val="005E773E"/>
    <w:rsid w:val="00605E2D"/>
    <w:rsid w:val="00607A32"/>
    <w:rsid w:val="006138A2"/>
    <w:rsid w:val="00643BF6"/>
    <w:rsid w:val="00644120"/>
    <w:rsid w:val="006478CD"/>
    <w:rsid w:val="00651096"/>
    <w:rsid w:val="00652ECF"/>
    <w:rsid w:val="0065340D"/>
    <w:rsid w:val="00663D93"/>
    <w:rsid w:val="006660C4"/>
    <w:rsid w:val="00690A46"/>
    <w:rsid w:val="00696A45"/>
    <w:rsid w:val="006A3F56"/>
    <w:rsid w:val="006A4787"/>
    <w:rsid w:val="006B10D3"/>
    <w:rsid w:val="006B1207"/>
    <w:rsid w:val="006B389B"/>
    <w:rsid w:val="006D646E"/>
    <w:rsid w:val="006E4673"/>
    <w:rsid w:val="006F7923"/>
    <w:rsid w:val="007009C2"/>
    <w:rsid w:val="007053DA"/>
    <w:rsid w:val="00707E21"/>
    <w:rsid w:val="0071094A"/>
    <w:rsid w:val="007120E8"/>
    <w:rsid w:val="0071719C"/>
    <w:rsid w:val="0072092E"/>
    <w:rsid w:val="00721F0D"/>
    <w:rsid w:val="007314BF"/>
    <w:rsid w:val="00735684"/>
    <w:rsid w:val="00736EA3"/>
    <w:rsid w:val="00737DE3"/>
    <w:rsid w:val="00737E59"/>
    <w:rsid w:val="00740609"/>
    <w:rsid w:val="007441DC"/>
    <w:rsid w:val="00745A6E"/>
    <w:rsid w:val="00751737"/>
    <w:rsid w:val="0075237B"/>
    <w:rsid w:val="0075439B"/>
    <w:rsid w:val="00755A74"/>
    <w:rsid w:val="0075767D"/>
    <w:rsid w:val="00772BE2"/>
    <w:rsid w:val="00773201"/>
    <w:rsid w:val="00774C87"/>
    <w:rsid w:val="00776F90"/>
    <w:rsid w:val="007814E3"/>
    <w:rsid w:val="00781A68"/>
    <w:rsid w:val="00785CE1"/>
    <w:rsid w:val="00793532"/>
    <w:rsid w:val="007953B2"/>
    <w:rsid w:val="007A5777"/>
    <w:rsid w:val="007C3E06"/>
    <w:rsid w:val="007D56D3"/>
    <w:rsid w:val="007D6414"/>
    <w:rsid w:val="007F5CB9"/>
    <w:rsid w:val="007F7F4D"/>
    <w:rsid w:val="00802663"/>
    <w:rsid w:val="00803DA8"/>
    <w:rsid w:val="008042A7"/>
    <w:rsid w:val="0080480D"/>
    <w:rsid w:val="00806089"/>
    <w:rsid w:val="00806D87"/>
    <w:rsid w:val="00811D96"/>
    <w:rsid w:val="00822B19"/>
    <w:rsid w:val="0083016B"/>
    <w:rsid w:val="00834D65"/>
    <w:rsid w:val="00841015"/>
    <w:rsid w:val="00844601"/>
    <w:rsid w:val="00846E67"/>
    <w:rsid w:val="00850F10"/>
    <w:rsid w:val="0085505E"/>
    <w:rsid w:val="008565FB"/>
    <w:rsid w:val="008717D5"/>
    <w:rsid w:val="008751FD"/>
    <w:rsid w:val="00875A62"/>
    <w:rsid w:val="00876207"/>
    <w:rsid w:val="00885CA2"/>
    <w:rsid w:val="00891DE8"/>
    <w:rsid w:val="00892B45"/>
    <w:rsid w:val="00894941"/>
    <w:rsid w:val="008A0D42"/>
    <w:rsid w:val="008A1047"/>
    <w:rsid w:val="008A2347"/>
    <w:rsid w:val="008A3F75"/>
    <w:rsid w:val="008A462B"/>
    <w:rsid w:val="008B01F3"/>
    <w:rsid w:val="008B5A06"/>
    <w:rsid w:val="008B5E2F"/>
    <w:rsid w:val="008B7910"/>
    <w:rsid w:val="008B7FFE"/>
    <w:rsid w:val="008C5768"/>
    <w:rsid w:val="008D36BA"/>
    <w:rsid w:val="008E12B5"/>
    <w:rsid w:val="008E5698"/>
    <w:rsid w:val="008F3BC6"/>
    <w:rsid w:val="00903DA8"/>
    <w:rsid w:val="00920105"/>
    <w:rsid w:val="009430BB"/>
    <w:rsid w:val="00952664"/>
    <w:rsid w:val="009678D6"/>
    <w:rsid w:val="00972D15"/>
    <w:rsid w:val="009851EE"/>
    <w:rsid w:val="009971BD"/>
    <w:rsid w:val="0099737C"/>
    <w:rsid w:val="009A1578"/>
    <w:rsid w:val="009B2C97"/>
    <w:rsid w:val="009B409C"/>
    <w:rsid w:val="009D3A87"/>
    <w:rsid w:val="009F56AB"/>
    <w:rsid w:val="00A004A7"/>
    <w:rsid w:val="00A307C7"/>
    <w:rsid w:val="00A34292"/>
    <w:rsid w:val="00A41A10"/>
    <w:rsid w:val="00A46E45"/>
    <w:rsid w:val="00A626F5"/>
    <w:rsid w:val="00A67176"/>
    <w:rsid w:val="00A7303D"/>
    <w:rsid w:val="00A7524E"/>
    <w:rsid w:val="00A767C7"/>
    <w:rsid w:val="00A7707A"/>
    <w:rsid w:val="00A83CE1"/>
    <w:rsid w:val="00A90785"/>
    <w:rsid w:val="00AA1393"/>
    <w:rsid w:val="00AA3C19"/>
    <w:rsid w:val="00AC616F"/>
    <w:rsid w:val="00AD0DD4"/>
    <w:rsid w:val="00AD1B74"/>
    <w:rsid w:val="00AD6945"/>
    <w:rsid w:val="00AE064E"/>
    <w:rsid w:val="00AE283B"/>
    <w:rsid w:val="00AE6527"/>
    <w:rsid w:val="00AF1AE5"/>
    <w:rsid w:val="00AF205D"/>
    <w:rsid w:val="00AF2419"/>
    <w:rsid w:val="00B00C7A"/>
    <w:rsid w:val="00B01F4A"/>
    <w:rsid w:val="00B02380"/>
    <w:rsid w:val="00B03A76"/>
    <w:rsid w:val="00B0696C"/>
    <w:rsid w:val="00B10292"/>
    <w:rsid w:val="00B1243D"/>
    <w:rsid w:val="00B20D9A"/>
    <w:rsid w:val="00B23F97"/>
    <w:rsid w:val="00B24420"/>
    <w:rsid w:val="00B44DBF"/>
    <w:rsid w:val="00B45104"/>
    <w:rsid w:val="00B60C39"/>
    <w:rsid w:val="00B66343"/>
    <w:rsid w:val="00B738C7"/>
    <w:rsid w:val="00B7703A"/>
    <w:rsid w:val="00B77447"/>
    <w:rsid w:val="00B820E4"/>
    <w:rsid w:val="00B83C30"/>
    <w:rsid w:val="00B85FE4"/>
    <w:rsid w:val="00BA18BA"/>
    <w:rsid w:val="00BA30B3"/>
    <w:rsid w:val="00BB4456"/>
    <w:rsid w:val="00BB74D0"/>
    <w:rsid w:val="00BD307A"/>
    <w:rsid w:val="00BD4655"/>
    <w:rsid w:val="00BD5E07"/>
    <w:rsid w:val="00BD75F3"/>
    <w:rsid w:val="00BE093C"/>
    <w:rsid w:val="00BF1BF3"/>
    <w:rsid w:val="00C021CE"/>
    <w:rsid w:val="00C047C7"/>
    <w:rsid w:val="00C261B8"/>
    <w:rsid w:val="00C3063B"/>
    <w:rsid w:val="00C33454"/>
    <w:rsid w:val="00C34B86"/>
    <w:rsid w:val="00C34C66"/>
    <w:rsid w:val="00C40D48"/>
    <w:rsid w:val="00C433FC"/>
    <w:rsid w:val="00C53464"/>
    <w:rsid w:val="00C5699B"/>
    <w:rsid w:val="00C65232"/>
    <w:rsid w:val="00C65AC7"/>
    <w:rsid w:val="00C65CB8"/>
    <w:rsid w:val="00C70F8F"/>
    <w:rsid w:val="00C73ADC"/>
    <w:rsid w:val="00C73C81"/>
    <w:rsid w:val="00C81563"/>
    <w:rsid w:val="00C87B19"/>
    <w:rsid w:val="00C91C71"/>
    <w:rsid w:val="00CA32EA"/>
    <w:rsid w:val="00CA3CF8"/>
    <w:rsid w:val="00CA7A65"/>
    <w:rsid w:val="00CB0052"/>
    <w:rsid w:val="00CB3CD4"/>
    <w:rsid w:val="00CB3EF2"/>
    <w:rsid w:val="00CB593F"/>
    <w:rsid w:val="00CB6AB7"/>
    <w:rsid w:val="00CC0B8A"/>
    <w:rsid w:val="00CC3311"/>
    <w:rsid w:val="00CC4A9D"/>
    <w:rsid w:val="00CC615A"/>
    <w:rsid w:val="00CD2FAC"/>
    <w:rsid w:val="00CE303C"/>
    <w:rsid w:val="00CE5586"/>
    <w:rsid w:val="00CE63B8"/>
    <w:rsid w:val="00CE6B95"/>
    <w:rsid w:val="00CF3B58"/>
    <w:rsid w:val="00D01202"/>
    <w:rsid w:val="00D036DF"/>
    <w:rsid w:val="00D07304"/>
    <w:rsid w:val="00D10741"/>
    <w:rsid w:val="00D12260"/>
    <w:rsid w:val="00D217AF"/>
    <w:rsid w:val="00D3057E"/>
    <w:rsid w:val="00D4580A"/>
    <w:rsid w:val="00D47AE5"/>
    <w:rsid w:val="00D50CA3"/>
    <w:rsid w:val="00D63B92"/>
    <w:rsid w:val="00D84A20"/>
    <w:rsid w:val="00D91E90"/>
    <w:rsid w:val="00DA1315"/>
    <w:rsid w:val="00DA5673"/>
    <w:rsid w:val="00DA6708"/>
    <w:rsid w:val="00DB226F"/>
    <w:rsid w:val="00DB409E"/>
    <w:rsid w:val="00DB767A"/>
    <w:rsid w:val="00DD1F7A"/>
    <w:rsid w:val="00DE5DC8"/>
    <w:rsid w:val="00DE7BAF"/>
    <w:rsid w:val="00DF1F26"/>
    <w:rsid w:val="00DF5117"/>
    <w:rsid w:val="00E078CD"/>
    <w:rsid w:val="00E21597"/>
    <w:rsid w:val="00E242AF"/>
    <w:rsid w:val="00E26E48"/>
    <w:rsid w:val="00E2728A"/>
    <w:rsid w:val="00E56264"/>
    <w:rsid w:val="00E56983"/>
    <w:rsid w:val="00E62242"/>
    <w:rsid w:val="00E64259"/>
    <w:rsid w:val="00E645FA"/>
    <w:rsid w:val="00E65BCB"/>
    <w:rsid w:val="00E71A93"/>
    <w:rsid w:val="00E7567A"/>
    <w:rsid w:val="00E76C09"/>
    <w:rsid w:val="00E8492F"/>
    <w:rsid w:val="00E93D16"/>
    <w:rsid w:val="00E9777B"/>
    <w:rsid w:val="00EA0B06"/>
    <w:rsid w:val="00EA6B8C"/>
    <w:rsid w:val="00EA6EE1"/>
    <w:rsid w:val="00EB40C1"/>
    <w:rsid w:val="00EB4490"/>
    <w:rsid w:val="00EB4FBB"/>
    <w:rsid w:val="00EC03C4"/>
    <w:rsid w:val="00EC3AEC"/>
    <w:rsid w:val="00ED216C"/>
    <w:rsid w:val="00EE335F"/>
    <w:rsid w:val="00EE7DCF"/>
    <w:rsid w:val="00EF4A12"/>
    <w:rsid w:val="00EF5D3C"/>
    <w:rsid w:val="00F13349"/>
    <w:rsid w:val="00F13545"/>
    <w:rsid w:val="00F1776C"/>
    <w:rsid w:val="00F20517"/>
    <w:rsid w:val="00F2070C"/>
    <w:rsid w:val="00F20D20"/>
    <w:rsid w:val="00F30098"/>
    <w:rsid w:val="00F32E39"/>
    <w:rsid w:val="00F41548"/>
    <w:rsid w:val="00F43C77"/>
    <w:rsid w:val="00F45BCC"/>
    <w:rsid w:val="00F471BE"/>
    <w:rsid w:val="00F56FC5"/>
    <w:rsid w:val="00F57A00"/>
    <w:rsid w:val="00F6659B"/>
    <w:rsid w:val="00F66C4D"/>
    <w:rsid w:val="00F6742A"/>
    <w:rsid w:val="00F7608A"/>
    <w:rsid w:val="00F76BF1"/>
    <w:rsid w:val="00F87789"/>
    <w:rsid w:val="00F966FC"/>
    <w:rsid w:val="00FB535E"/>
    <w:rsid w:val="00FB6A63"/>
    <w:rsid w:val="00FC28B3"/>
    <w:rsid w:val="00FD5570"/>
    <w:rsid w:val="00FD5FBB"/>
    <w:rsid w:val="00FE0263"/>
    <w:rsid w:val="00FE048E"/>
    <w:rsid w:val="00FE625D"/>
    <w:rsid w:val="00FE7990"/>
    <w:rsid w:val="00FE7A56"/>
    <w:rsid w:val="0E26619D"/>
    <w:rsid w:val="39A867AF"/>
    <w:rsid w:val="6A70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DD84E"/>
  <w15:chartTrackingRefBased/>
  <w15:docId w15:val="{4B0FF8B8-9AF1-4733-B4F0-643579C0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87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C9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B2C97"/>
  </w:style>
  <w:style w:type="paragraph" w:styleId="Footer">
    <w:name w:val="footer"/>
    <w:basedOn w:val="Normal"/>
    <w:link w:val="FooterChar"/>
    <w:uiPriority w:val="99"/>
    <w:unhideWhenUsed/>
    <w:rsid w:val="009B2C9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B2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hawn-laree.o&#8217;neil@global.komats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ill.rick@global.komatsu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komatsu.com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163F608435240B691A8C97FE0EAB0" ma:contentTypeVersion="11" ma:contentTypeDescription="Create a new document." ma:contentTypeScope="" ma:versionID="34c60ee6f6ea6f1999794e66ac1e482a">
  <xsd:schema xmlns:xsd="http://www.w3.org/2001/XMLSchema" xmlns:xs="http://www.w3.org/2001/XMLSchema" xmlns:p="http://schemas.microsoft.com/office/2006/metadata/properties" xmlns:ns2="8099db2e-0c90-4ef7-8fdf-3cca6c7f1d36" xmlns:ns3="9b475656-160d-427a-b7e5-0594a1bc5c92" targetNamespace="http://schemas.microsoft.com/office/2006/metadata/properties" ma:root="true" ma:fieldsID="c26ae2245852150680e1c8331b6913ca" ns2:_="" ns3:_="">
    <xsd:import namespace="8099db2e-0c90-4ef7-8fdf-3cca6c7f1d36"/>
    <xsd:import namespace="9b475656-160d-427a-b7e5-0594a1bc5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9db2e-0c90-4ef7-8fdf-3cca6c7f1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75656-160d-427a-b7e5-0594a1bc5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212C0-66C6-497D-80DB-6BCEFD5D4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9db2e-0c90-4ef7-8fdf-3cca6c7f1d36"/>
    <ds:schemaRef ds:uri="9b475656-160d-427a-b7e5-0594a1bc5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Raleigh Floyd Jr.</dc:creator>
  <cp:keywords/>
  <dc:description/>
  <cp:lastModifiedBy>Rick, Jill</cp:lastModifiedBy>
  <cp:revision>6</cp:revision>
  <cp:lastPrinted>2023-02-08T21:38:00Z</cp:lastPrinted>
  <dcterms:created xsi:type="dcterms:W3CDTF">2023-03-03T16:11:00Z</dcterms:created>
  <dcterms:modified xsi:type="dcterms:W3CDTF">2023-03-06T13:48:00Z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0x01010050B163F608435240B691A8C97FE0EAB0</vt:lpwstr>
  </property>
</Properties>
</file>