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E6F0" w14:textId="58D8ECB4" w:rsidR="00456887" w:rsidRPr="008A1047" w:rsidRDefault="00456887" w:rsidP="00456887">
      <w:pPr>
        <w:spacing w:after="0"/>
        <w:rPr>
          <w:rFonts w:cstheme="minorHAnsi"/>
          <w:b/>
        </w:rPr>
      </w:pPr>
      <w:bookmarkStart w:id="0" w:name="_Hlk172826984"/>
      <w:bookmarkEnd w:id="0"/>
      <w:r w:rsidRPr="008A1047">
        <w:rPr>
          <w:rFonts w:cstheme="minorHAnsi"/>
          <w:noProof/>
        </w:rPr>
        <w:drawing>
          <wp:anchor distT="0" distB="0" distL="114300" distR="114300" simplePos="0" relativeHeight="251658240" behindDoc="1" locked="0" layoutInCell="1" allowOverlap="1" wp14:anchorId="058B7771" wp14:editId="18053747">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73E110AD"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Pr="002F5AFE" w:rsidRDefault="000C54AD" w:rsidP="000C54AD">
      <w:pPr>
        <w:tabs>
          <w:tab w:val="left" w:pos="6210"/>
        </w:tabs>
        <w:spacing w:after="0" w:line="240" w:lineRule="auto"/>
        <w:ind w:right="-450"/>
        <w:jc w:val="right"/>
        <w:rPr>
          <w:rFonts w:cstheme="minorHAnsi"/>
          <w:b/>
          <w:bCs/>
        </w:rPr>
      </w:pPr>
      <w:r w:rsidRPr="002F5AFE">
        <w:rPr>
          <w:rFonts w:cstheme="minorHAnsi"/>
          <w:b/>
          <w:bCs/>
        </w:rPr>
        <w:t>Media support:</w:t>
      </w:r>
    </w:p>
    <w:p w14:paraId="1217BE90" w14:textId="76F58F78" w:rsidR="00815F57" w:rsidRDefault="00815F57" w:rsidP="009B49E7">
      <w:pPr>
        <w:pStyle w:val="Headline"/>
        <w:jc w:val="left"/>
        <w:rPr>
          <w:b w:val="0"/>
          <w:bCs/>
          <w:i/>
        </w:rPr>
      </w:pPr>
    </w:p>
    <w:p w14:paraId="4FB91DD7" w14:textId="288C72EC" w:rsidR="00B65689" w:rsidRDefault="00663195" w:rsidP="00B65689">
      <w:pPr>
        <w:tabs>
          <w:tab w:val="left" w:pos="6210"/>
        </w:tabs>
        <w:spacing w:after="0" w:line="240" w:lineRule="auto"/>
        <w:ind w:right="-450"/>
        <w:jc w:val="right"/>
        <w:rPr>
          <w:rFonts w:cstheme="minorHAnsi"/>
        </w:rPr>
      </w:pPr>
      <w:r>
        <w:rPr>
          <w:rFonts w:cstheme="minorHAnsi"/>
        </w:rPr>
        <w:t>Mason Raube</w:t>
      </w:r>
    </w:p>
    <w:p w14:paraId="0BBAA8BC" w14:textId="73D09E07" w:rsidR="00B65689" w:rsidRDefault="00B65689" w:rsidP="00B65689">
      <w:pPr>
        <w:tabs>
          <w:tab w:val="left" w:pos="6210"/>
        </w:tabs>
        <w:spacing w:after="0" w:line="240" w:lineRule="auto"/>
        <w:ind w:right="-450"/>
        <w:jc w:val="right"/>
        <w:rPr>
          <w:rFonts w:cstheme="minorHAnsi"/>
        </w:rPr>
      </w:pPr>
      <w:r>
        <w:rPr>
          <w:rFonts w:cstheme="minorHAnsi"/>
        </w:rPr>
        <w:t xml:space="preserve">+1 </w:t>
      </w:r>
      <w:r w:rsidR="004826DE">
        <w:rPr>
          <w:rFonts w:cstheme="minorHAnsi"/>
        </w:rPr>
        <w:t>920-517-7945</w:t>
      </w:r>
    </w:p>
    <w:p w14:paraId="10E3E6C9" w14:textId="48F536A5" w:rsidR="00B65689" w:rsidRDefault="00DC290F" w:rsidP="00B65689">
      <w:pPr>
        <w:tabs>
          <w:tab w:val="left" w:pos="6210"/>
        </w:tabs>
        <w:spacing w:after="0" w:line="240" w:lineRule="auto"/>
        <w:ind w:right="-450"/>
        <w:jc w:val="right"/>
        <w:rPr>
          <w:rFonts w:cstheme="minorHAnsi"/>
        </w:rPr>
      </w:pPr>
      <w:hyperlink r:id="rId9" w:history="1">
        <w:r w:rsidR="004826DE">
          <w:rPr>
            <w:rStyle w:val="Hyperlink"/>
            <w:rFonts w:cstheme="minorHAnsi"/>
          </w:rPr>
          <w:t>mason.raube</w:t>
        </w:r>
        <w:r w:rsidR="004826DE" w:rsidRPr="00E56FC9">
          <w:rPr>
            <w:rStyle w:val="Hyperlink"/>
            <w:rFonts w:cstheme="minorHAnsi"/>
          </w:rPr>
          <w:t>@global.komatsu</w:t>
        </w:r>
      </w:hyperlink>
    </w:p>
    <w:p w14:paraId="445CFC27" w14:textId="77777777" w:rsidR="00B65689" w:rsidRPr="00B65689" w:rsidRDefault="00B65689" w:rsidP="00B65689">
      <w:pPr>
        <w:pStyle w:val="Headline"/>
        <w:jc w:val="left"/>
        <w:rPr>
          <w:b w:val="0"/>
          <w:bCs/>
          <w:iCs/>
        </w:rPr>
      </w:pPr>
    </w:p>
    <w:p w14:paraId="458DDB04" w14:textId="77777777" w:rsidR="0083238E" w:rsidRPr="005E1347" w:rsidRDefault="0083238E" w:rsidP="009B49E7">
      <w:pPr>
        <w:pStyle w:val="Headline"/>
        <w:jc w:val="left"/>
        <w:rPr>
          <w:b w:val="0"/>
          <w:bCs/>
          <w:i/>
        </w:rPr>
      </w:pPr>
    </w:p>
    <w:p w14:paraId="2786FECD" w14:textId="3A64E82B" w:rsidR="0083238E" w:rsidRPr="004363E3" w:rsidRDefault="00391878" w:rsidP="0083238E">
      <w:pPr>
        <w:pStyle w:val="Headline"/>
      </w:pPr>
      <w:r>
        <w:t xml:space="preserve">Komatsu </w:t>
      </w:r>
      <w:r w:rsidR="00017E9E">
        <w:t>launches</w:t>
      </w:r>
      <w:r>
        <w:t xml:space="preserve"> </w:t>
      </w:r>
      <w:r w:rsidR="00977A99">
        <w:t>interoperable mine management platform</w:t>
      </w:r>
    </w:p>
    <w:p w14:paraId="24955853" w14:textId="3AFAEA3A" w:rsidR="0083238E" w:rsidRDefault="00020D4B" w:rsidP="0083238E">
      <w:pPr>
        <w:spacing w:after="0"/>
        <w:jc w:val="center"/>
        <w:rPr>
          <w:rFonts w:ascii="Arial" w:hAnsi="Arial" w:cs="Arial"/>
          <w:i/>
        </w:rPr>
      </w:pPr>
      <w:r>
        <w:rPr>
          <w:rFonts w:ascii="Arial" w:hAnsi="Arial" w:cs="Arial"/>
          <w:i/>
        </w:rPr>
        <w:t xml:space="preserve">Modular ecosystem </w:t>
      </w:r>
      <w:r w:rsidR="00343D4B">
        <w:rPr>
          <w:rFonts w:ascii="Arial" w:hAnsi="Arial" w:cs="Arial"/>
          <w:i/>
        </w:rPr>
        <w:t>designed to unlock new value for mining operations</w:t>
      </w:r>
    </w:p>
    <w:p w14:paraId="49506876" w14:textId="77777777" w:rsidR="00030E53" w:rsidRDefault="00030E53" w:rsidP="0083238E">
      <w:pPr>
        <w:spacing w:after="0"/>
        <w:jc w:val="center"/>
        <w:rPr>
          <w:rFonts w:ascii="Arial" w:hAnsi="Arial" w:cs="Arial"/>
          <w:i/>
        </w:rPr>
      </w:pPr>
    </w:p>
    <w:p w14:paraId="06DFC51D" w14:textId="4A2C9BB8" w:rsidR="0062663F" w:rsidRDefault="227FF66B" w:rsidP="007052FC">
      <w:pPr>
        <w:rPr>
          <w:rFonts w:ascii="Arial" w:hAnsi="Arial" w:cs="Arial"/>
        </w:rPr>
      </w:pPr>
      <w:r w:rsidRPr="227FF66B">
        <w:rPr>
          <w:rFonts w:ascii="Arial" w:hAnsi="Arial" w:cs="Arial"/>
          <w:b/>
          <w:bCs/>
          <w:noProof/>
        </w:rPr>
        <w:t>Sept. 24,</w:t>
      </w:r>
      <w:r w:rsidRPr="227FF66B">
        <w:rPr>
          <w:rFonts w:ascii="Arial" w:hAnsi="Arial" w:cs="Arial"/>
          <w:b/>
          <w:bCs/>
        </w:rPr>
        <w:t xml:space="preserve"> 2024 </w:t>
      </w:r>
      <w:r w:rsidRPr="227FF66B">
        <w:rPr>
          <w:rFonts w:ascii="Arial" w:hAnsi="Arial" w:cs="Arial"/>
        </w:rPr>
        <w:t xml:space="preserve">— Building upon its industry-leading DISPATCH fleet management system, Komatsu is excited to announce the launch of the new </w:t>
      </w:r>
      <w:hyperlink r:id="rId10" w:history="1">
        <w:r w:rsidRPr="000B423E">
          <w:rPr>
            <w:rStyle w:val="Hyperlink"/>
            <w:rFonts w:ascii="Arial" w:hAnsi="Arial" w:cs="Arial"/>
          </w:rPr>
          <w:t>Modular ecosystem</w:t>
        </w:r>
      </w:hyperlink>
      <w:r w:rsidRPr="227FF66B">
        <w:rPr>
          <w:rFonts w:ascii="Arial" w:hAnsi="Arial" w:cs="Arial"/>
        </w:rPr>
        <w:t xml:space="preserve">, an expanding set of interconnected platforms and products designed to simplify existing workflows while creating a bold vision for the future of mine site optimization and data utilization. </w:t>
      </w:r>
    </w:p>
    <w:p w14:paraId="03227E42" w14:textId="6782BC84" w:rsidR="51CBDC53" w:rsidRPr="001A13D0" w:rsidRDefault="227FF66B" w:rsidP="51CBDC53">
      <w:pPr>
        <w:rPr>
          <w:rFonts w:ascii="Arial" w:hAnsi="Arial" w:cs="Arial"/>
        </w:rPr>
      </w:pPr>
      <w:r w:rsidRPr="227FF66B">
        <w:rPr>
          <w:rFonts w:ascii="Arial" w:hAnsi="Arial" w:cs="Arial"/>
        </w:rPr>
        <w:t>Through interactive displays and demonstrations at Komatsu’s booth at MINExpo 202</w:t>
      </w:r>
      <w:r w:rsidR="001A13D0">
        <w:rPr>
          <w:rFonts w:ascii="Arial" w:hAnsi="Arial" w:cs="Arial"/>
        </w:rPr>
        <w:t>4</w:t>
      </w:r>
      <w:r w:rsidRPr="227FF66B">
        <w:rPr>
          <w:rFonts w:ascii="Arial" w:hAnsi="Arial" w:cs="Arial"/>
        </w:rPr>
        <w:t xml:space="preserve"> this week in Las Vegas, the global equipment and solutions provider is giving attendees a chance to be part of the public unveiling of their connected system approach. </w:t>
      </w:r>
    </w:p>
    <w:p w14:paraId="1C3BB416" w14:textId="66AC1852" w:rsidR="00AE5185" w:rsidRDefault="001A13D0" w:rsidP="007052FC">
      <w:pPr>
        <w:rPr>
          <w:rFonts w:ascii="Arial" w:hAnsi="Arial" w:cs="Arial"/>
        </w:rPr>
      </w:pPr>
      <w:r>
        <w:rPr>
          <w:noProof/>
        </w:rPr>
        <w:drawing>
          <wp:anchor distT="0" distB="0" distL="114300" distR="114300" simplePos="0" relativeHeight="251662336" behindDoc="0" locked="0" layoutInCell="1" allowOverlap="1" wp14:anchorId="680F65EE" wp14:editId="79659682">
            <wp:simplePos x="0" y="0"/>
            <wp:positionH relativeFrom="margin">
              <wp:align>right</wp:align>
            </wp:positionH>
            <wp:positionV relativeFrom="paragraph">
              <wp:posOffset>5080</wp:posOffset>
            </wp:positionV>
            <wp:extent cx="2402205" cy="2402205"/>
            <wp:effectExtent l="0" t="0" r="0" b="0"/>
            <wp:wrapSquare wrapText="bothSides"/>
            <wp:docPr id="1126201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02205" cy="2402205"/>
                    </a:xfrm>
                    <a:prstGeom prst="rect">
                      <a:avLst/>
                    </a:prstGeom>
                  </pic:spPr>
                </pic:pic>
              </a:graphicData>
            </a:graphic>
          </wp:anchor>
        </w:drawing>
      </w:r>
      <w:r w:rsidR="00866AD2">
        <w:rPr>
          <w:rFonts w:ascii="Arial" w:hAnsi="Arial" w:cs="Arial"/>
        </w:rPr>
        <w:t>“</w:t>
      </w:r>
      <w:r w:rsidR="002418B0">
        <w:rPr>
          <w:rFonts w:ascii="Arial" w:hAnsi="Arial" w:cs="Arial"/>
        </w:rPr>
        <w:t>O</w:t>
      </w:r>
      <w:r w:rsidR="002418B0" w:rsidRPr="002418B0">
        <w:rPr>
          <w:rFonts w:ascii="Arial" w:hAnsi="Arial" w:cs="Arial"/>
        </w:rPr>
        <w:t xml:space="preserve">ne of </w:t>
      </w:r>
      <w:r w:rsidR="002418B0">
        <w:rPr>
          <w:rFonts w:ascii="Arial" w:hAnsi="Arial" w:cs="Arial"/>
        </w:rPr>
        <w:t>our customers’</w:t>
      </w:r>
      <w:r w:rsidR="002418B0" w:rsidRPr="002418B0">
        <w:rPr>
          <w:rFonts w:ascii="Arial" w:hAnsi="Arial" w:cs="Arial"/>
        </w:rPr>
        <w:t xml:space="preserve"> biggest challenges is </w:t>
      </w:r>
      <w:r w:rsidR="002418B0">
        <w:rPr>
          <w:rFonts w:ascii="Arial" w:hAnsi="Arial" w:cs="Arial"/>
        </w:rPr>
        <w:t xml:space="preserve">being able to get the full </w:t>
      </w:r>
      <w:r w:rsidR="002418B0" w:rsidRPr="002418B0">
        <w:rPr>
          <w:rFonts w:ascii="Arial" w:hAnsi="Arial" w:cs="Arial"/>
        </w:rPr>
        <w:t>value out of the data sets they own</w:t>
      </w:r>
      <w:r w:rsidR="00AE5185">
        <w:rPr>
          <w:rFonts w:ascii="Arial" w:hAnsi="Arial" w:cs="Arial"/>
        </w:rPr>
        <w:t xml:space="preserve">,” said Jason Fletcher, Senior VP of </w:t>
      </w:r>
      <w:r w:rsidR="0058300A">
        <w:rPr>
          <w:rFonts w:ascii="Arial" w:hAnsi="Arial" w:cs="Arial"/>
        </w:rPr>
        <w:t xml:space="preserve">Mining Technology Solutions at Komatsu. </w:t>
      </w:r>
      <w:r w:rsidR="00196D15">
        <w:rPr>
          <w:rFonts w:ascii="Arial" w:hAnsi="Arial" w:cs="Arial"/>
        </w:rPr>
        <w:t>“</w:t>
      </w:r>
      <w:r w:rsidR="00B91AD2">
        <w:t>The Modular ecosystem is that entry point for a mine operation to have one place to gather</w:t>
      </w:r>
      <w:r w:rsidR="00B91AD2" w:rsidRPr="2343C277">
        <w:rPr>
          <w:color w:val="FF0000" w:themeColor="accent4"/>
        </w:rPr>
        <w:t xml:space="preserve"> </w:t>
      </w:r>
      <w:r w:rsidRPr="001A13D0">
        <w:t>operational</w:t>
      </w:r>
      <w:r>
        <w:rPr>
          <w:color w:val="FF0000" w:themeColor="accent4"/>
        </w:rPr>
        <w:t xml:space="preserve"> </w:t>
      </w:r>
      <w:r w:rsidR="00B91AD2" w:rsidRPr="2343C277">
        <w:t>information for every activity that's going on across</w:t>
      </w:r>
      <w:r w:rsidR="00B91AD2" w:rsidRPr="2343C277">
        <w:rPr>
          <w:color w:val="FF0000" w:themeColor="accent4"/>
        </w:rPr>
        <w:t xml:space="preserve"> </w:t>
      </w:r>
      <w:r w:rsidR="0053609B">
        <w:t>their</w:t>
      </w:r>
      <w:r w:rsidR="00B91AD2">
        <w:t xml:space="preserve"> mine site.</w:t>
      </w:r>
      <w:r w:rsidR="00575553">
        <w:t xml:space="preserve"> </w:t>
      </w:r>
      <w:r w:rsidR="00EF714F">
        <w:rPr>
          <w:rFonts w:ascii="Arial" w:hAnsi="Arial" w:cs="Arial"/>
        </w:rPr>
        <w:t>It’s our path forward to</w:t>
      </w:r>
      <w:r w:rsidR="00575553" w:rsidRPr="006641BB">
        <w:rPr>
          <w:rFonts w:ascii="Arial" w:hAnsi="Arial" w:cs="Arial"/>
        </w:rPr>
        <w:t xml:space="preserve"> </w:t>
      </w:r>
      <w:r w:rsidR="00575553">
        <w:rPr>
          <w:rFonts w:ascii="Arial" w:hAnsi="Arial" w:cs="Arial"/>
        </w:rPr>
        <w:t xml:space="preserve">help </w:t>
      </w:r>
      <w:r w:rsidR="00575553" w:rsidRPr="006641BB">
        <w:rPr>
          <w:rFonts w:ascii="Arial" w:hAnsi="Arial" w:cs="Arial"/>
        </w:rPr>
        <w:t>optimize mining operations at the</w:t>
      </w:r>
      <w:r w:rsidR="00BA3C36">
        <w:rPr>
          <w:rFonts w:ascii="Arial" w:hAnsi="Arial" w:cs="Arial"/>
        </w:rPr>
        <w:t xml:space="preserve"> machine</w:t>
      </w:r>
      <w:r w:rsidR="00575553" w:rsidRPr="006641BB">
        <w:rPr>
          <w:rFonts w:ascii="Arial" w:hAnsi="Arial" w:cs="Arial"/>
        </w:rPr>
        <w:t>, mine site and enterprise level</w:t>
      </w:r>
      <w:r w:rsidR="002E3354">
        <w:rPr>
          <w:rFonts w:ascii="Arial" w:hAnsi="Arial" w:cs="Arial"/>
        </w:rPr>
        <w:t>s</w:t>
      </w:r>
      <w:r w:rsidR="00EF714F">
        <w:t xml:space="preserve">.” </w:t>
      </w:r>
    </w:p>
    <w:p w14:paraId="6B523403" w14:textId="58845376" w:rsidR="0062663F" w:rsidRDefault="001A13D0" w:rsidP="007052FC">
      <w:pPr>
        <w:rPr>
          <w:rFonts w:ascii="Arial" w:hAnsi="Arial" w:cs="Arial"/>
        </w:rPr>
      </w:pPr>
      <w:r>
        <w:rPr>
          <w:noProof/>
        </w:rPr>
        <mc:AlternateContent>
          <mc:Choice Requires="wps">
            <w:drawing>
              <wp:anchor distT="0" distB="0" distL="114300" distR="114300" simplePos="0" relativeHeight="251661312" behindDoc="1" locked="0" layoutInCell="1" allowOverlap="1" wp14:anchorId="5540A820" wp14:editId="58647C71">
                <wp:simplePos x="0" y="0"/>
                <wp:positionH relativeFrom="margin">
                  <wp:align>right</wp:align>
                </wp:positionH>
                <wp:positionV relativeFrom="paragraph">
                  <wp:posOffset>574675</wp:posOffset>
                </wp:positionV>
                <wp:extent cx="2408555" cy="635"/>
                <wp:effectExtent l="0" t="0" r="0" b="0"/>
                <wp:wrapTight wrapText="bothSides">
                  <wp:wrapPolygon edited="0">
                    <wp:start x="0" y="0"/>
                    <wp:lineTo x="0" y="20521"/>
                    <wp:lineTo x="21355" y="20521"/>
                    <wp:lineTo x="21355" y="0"/>
                    <wp:lineTo x="0" y="0"/>
                  </wp:wrapPolygon>
                </wp:wrapTight>
                <wp:docPr id="445777586" name="Text Box 1"/>
                <wp:cNvGraphicFramePr/>
                <a:graphic xmlns:a="http://schemas.openxmlformats.org/drawingml/2006/main">
                  <a:graphicData uri="http://schemas.microsoft.com/office/word/2010/wordprocessingShape">
                    <wps:wsp>
                      <wps:cNvSpPr txBox="1"/>
                      <wps:spPr>
                        <a:xfrm>
                          <a:off x="0" y="0"/>
                          <a:ext cx="2408555" cy="635"/>
                        </a:xfrm>
                        <a:prstGeom prst="rect">
                          <a:avLst/>
                        </a:prstGeom>
                        <a:solidFill>
                          <a:prstClr val="white"/>
                        </a:solidFill>
                        <a:ln>
                          <a:noFill/>
                        </a:ln>
                      </wps:spPr>
                      <wps:txbx>
                        <w:txbxContent>
                          <w:p w14:paraId="6CD0C7C3" w14:textId="3DA3CC3C" w:rsidR="005139F0" w:rsidRPr="00425785" w:rsidRDefault="005139F0" w:rsidP="005139F0">
                            <w:pPr>
                              <w:pStyle w:val="Caption"/>
                              <w:rPr>
                                <w:rFonts w:ascii="Arial" w:hAnsi="Arial" w:cs="Arial"/>
                                <w:noProof/>
                                <w:sz w:val="22"/>
                                <w:szCs w:val="22"/>
                              </w:rPr>
                            </w:pPr>
                            <w:r>
                              <w:t>A visualization of the Modular ecosystem bringing together data from all levels of mining operations.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40A820" id="_x0000_t202" coordsize="21600,21600" o:spt="202" path="m,l,21600r21600,l21600,xe">
                <v:stroke joinstyle="miter"/>
                <v:path gradientshapeok="t" o:connecttype="rect"/>
              </v:shapetype>
              <v:shape id="Text Box 1" o:spid="_x0000_s1026" type="#_x0000_t202" style="position:absolute;margin-left:138.45pt;margin-top:45.25pt;width:189.65pt;height:.05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" stroked="f">
                <v:textbox style="mso-fit-shape-to-text:t" inset="0,0,0,0">
                  <w:txbxContent>
                    <w:p w14:paraId="6CD0C7C3" w14:textId="3DA3CC3C" w:rsidR="005139F0" w:rsidRPr="00425785" w:rsidRDefault="005139F0" w:rsidP="005139F0">
                      <w:pPr>
                        <w:pStyle w:val="Caption"/>
                        <w:rPr>
                          <w:rFonts w:ascii="Arial" w:hAnsi="Arial" w:cs="Arial"/>
                          <w:noProof/>
                          <w:sz w:val="22"/>
                          <w:szCs w:val="22"/>
                        </w:rPr>
                      </w:pPr>
                      <w:r>
                        <w:t>A visualization of the Modular ecosystem bringing together data from all levels of mining operations.</w:t>
                      </w:r>
                    </w:p>
                  </w:txbxContent>
                </v:textbox>
                <w10:wrap type="tight" anchorx="margin"/>
              </v:shape>
            </w:pict>
          </mc:Fallback>
        </mc:AlternateContent>
      </w:r>
      <w:r w:rsidR="2343C277" w:rsidRPr="2343C277">
        <w:rPr>
          <w:rFonts w:ascii="Arial" w:hAnsi="Arial" w:cs="Arial"/>
        </w:rPr>
        <w:t xml:space="preserve">Thanks to its open architecture design, the Modular ecosystem offers customers the ability to create a “single source of truth” for common data used across their mining operations, including data from connected Komatsu products as well as third-party vendors and other connected equipment. Access to all connected </w:t>
      </w:r>
      <w:r w:rsidRPr="001A13D0">
        <w:rPr>
          <w:rFonts w:ascii="Arial" w:hAnsi="Arial" w:cs="Arial"/>
        </w:rPr>
        <w:t>operational</w:t>
      </w:r>
      <w:r w:rsidR="2343C277" w:rsidRPr="001A13D0">
        <w:rPr>
          <w:rFonts w:ascii="Arial" w:hAnsi="Arial" w:cs="Arial"/>
        </w:rPr>
        <w:t xml:space="preserve"> </w:t>
      </w:r>
      <w:r w:rsidR="2343C277" w:rsidRPr="2343C277">
        <w:rPr>
          <w:rFonts w:ascii="Arial" w:hAnsi="Arial" w:cs="Arial"/>
        </w:rPr>
        <w:t xml:space="preserve">data allows customers to streamline decision making and support remote decision making. The Modular ecosystem will also allow stakeholders to securely share their data with partners of their choice, fostering collaboration and increasing overall solution velocity for an industry </w:t>
      </w:r>
      <w:proofErr w:type="gramStart"/>
      <w:r w:rsidR="2343C277" w:rsidRPr="2343C277">
        <w:rPr>
          <w:rFonts w:ascii="Arial" w:hAnsi="Arial" w:cs="Arial"/>
        </w:rPr>
        <w:t>in the midst of</w:t>
      </w:r>
      <w:proofErr w:type="gramEnd"/>
      <w:r w:rsidR="2343C277" w:rsidRPr="2343C277">
        <w:rPr>
          <w:rFonts w:ascii="Arial" w:hAnsi="Arial" w:cs="Arial"/>
        </w:rPr>
        <w:t xml:space="preserve"> ongoing transformation to meet the needs of a more sustainable future for all. </w:t>
      </w:r>
    </w:p>
    <w:p w14:paraId="3178BEB4" w14:textId="1F6F0690" w:rsidR="00A95C06" w:rsidRDefault="00E53918" w:rsidP="007052FC">
      <w:pPr>
        <w:rPr>
          <w:rFonts w:ascii="Arial" w:hAnsi="Arial" w:cs="Arial"/>
        </w:rPr>
      </w:pPr>
      <w:r>
        <w:rPr>
          <w:rFonts w:ascii="Arial" w:hAnsi="Arial" w:cs="Arial"/>
        </w:rPr>
        <w:t xml:space="preserve">The </w:t>
      </w:r>
      <w:r w:rsidR="00E32781">
        <w:rPr>
          <w:rFonts w:ascii="Arial" w:hAnsi="Arial" w:cs="Arial"/>
        </w:rPr>
        <w:t xml:space="preserve">first new offerings </w:t>
      </w:r>
      <w:r w:rsidR="00A11732">
        <w:rPr>
          <w:rFonts w:ascii="Arial" w:hAnsi="Arial" w:cs="Arial"/>
        </w:rPr>
        <w:t xml:space="preserve">on display </w:t>
      </w:r>
      <w:r w:rsidR="00681B29">
        <w:rPr>
          <w:rFonts w:ascii="Arial" w:hAnsi="Arial" w:cs="Arial"/>
        </w:rPr>
        <w:t xml:space="preserve">at the show include four apps to simplify </w:t>
      </w:r>
      <w:r w:rsidR="006F5A91">
        <w:rPr>
          <w:rFonts w:ascii="Arial" w:hAnsi="Arial" w:cs="Arial"/>
        </w:rPr>
        <w:t xml:space="preserve">existing DISPATCH workflows, introduce new technology and help customers prepare for an optimized experience. </w:t>
      </w:r>
      <w:r w:rsidR="00163E2B">
        <w:rPr>
          <w:rFonts w:ascii="Arial" w:hAnsi="Arial" w:cs="Arial"/>
        </w:rPr>
        <w:t xml:space="preserve">Now available for customer demos with commercial </w:t>
      </w:r>
      <w:r w:rsidR="007A461E">
        <w:rPr>
          <w:rFonts w:ascii="Arial" w:hAnsi="Arial" w:cs="Arial"/>
        </w:rPr>
        <w:t>release</w:t>
      </w:r>
      <w:r w:rsidR="00163E2B">
        <w:rPr>
          <w:rFonts w:ascii="Arial" w:hAnsi="Arial" w:cs="Arial"/>
        </w:rPr>
        <w:t xml:space="preserve"> on the horizon are: </w:t>
      </w:r>
      <w:r w:rsidR="00400F9F">
        <w:rPr>
          <w:rFonts w:ascii="Arial" w:hAnsi="Arial" w:cs="Arial"/>
        </w:rPr>
        <w:t xml:space="preserve"> </w:t>
      </w:r>
    </w:p>
    <w:p w14:paraId="66D13440" w14:textId="3D54095B" w:rsidR="00400F9F" w:rsidRDefault="00400F9F" w:rsidP="00400F9F">
      <w:pPr>
        <w:pStyle w:val="ListParagraph"/>
        <w:numPr>
          <w:ilvl w:val="0"/>
          <w:numId w:val="26"/>
        </w:numPr>
        <w:rPr>
          <w:rFonts w:ascii="Arial" w:hAnsi="Arial" w:cs="Arial"/>
        </w:rPr>
      </w:pPr>
      <w:r>
        <w:rPr>
          <w:rFonts w:ascii="Arial" w:hAnsi="Arial" w:cs="Arial"/>
        </w:rPr>
        <w:t>Simulate</w:t>
      </w:r>
      <w:r w:rsidR="007A461E">
        <w:rPr>
          <w:rFonts w:ascii="Arial" w:hAnsi="Arial" w:cs="Arial"/>
        </w:rPr>
        <w:t xml:space="preserve"> </w:t>
      </w:r>
      <w:r w:rsidR="00F12363">
        <w:rPr>
          <w:rFonts w:ascii="Arial" w:hAnsi="Arial" w:cs="Arial"/>
        </w:rPr>
        <w:t>–</w:t>
      </w:r>
      <w:r w:rsidR="007A461E">
        <w:rPr>
          <w:rFonts w:ascii="Arial" w:hAnsi="Arial" w:cs="Arial"/>
        </w:rPr>
        <w:t xml:space="preserve"> </w:t>
      </w:r>
      <w:r w:rsidR="007375D8">
        <w:rPr>
          <w:rFonts w:ascii="Arial" w:hAnsi="Arial" w:cs="Arial"/>
        </w:rPr>
        <w:t>v</w:t>
      </w:r>
      <w:r w:rsidR="00F12363">
        <w:rPr>
          <w:rFonts w:ascii="Arial" w:hAnsi="Arial" w:cs="Arial"/>
        </w:rPr>
        <w:t>isualiz</w:t>
      </w:r>
      <w:r w:rsidR="007375D8">
        <w:rPr>
          <w:rFonts w:ascii="Arial" w:hAnsi="Arial" w:cs="Arial"/>
        </w:rPr>
        <w:t>e</w:t>
      </w:r>
      <w:r w:rsidR="00F12363">
        <w:rPr>
          <w:rFonts w:ascii="Arial" w:hAnsi="Arial" w:cs="Arial"/>
        </w:rPr>
        <w:t xml:space="preserve"> and analyz</w:t>
      </w:r>
      <w:r w:rsidR="007375D8">
        <w:rPr>
          <w:rFonts w:ascii="Arial" w:hAnsi="Arial" w:cs="Arial"/>
        </w:rPr>
        <w:t>e</w:t>
      </w:r>
      <w:r w:rsidR="00F12363">
        <w:rPr>
          <w:rFonts w:ascii="Arial" w:hAnsi="Arial" w:cs="Arial"/>
        </w:rPr>
        <w:t xml:space="preserve"> scenarios</w:t>
      </w:r>
      <w:r w:rsidR="00754D73">
        <w:rPr>
          <w:rFonts w:ascii="Arial" w:hAnsi="Arial" w:cs="Arial"/>
        </w:rPr>
        <w:t xml:space="preserve"> to </w:t>
      </w:r>
      <w:r w:rsidR="007375D8">
        <w:rPr>
          <w:rFonts w:ascii="Arial" w:hAnsi="Arial" w:cs="Arial"/>
        </w:rPr>
        <w:t xml:space="preserve">improve </w:t>
      </w:r>
      <w:r w:rsidR="00754D73">
        <w:rPr>
          <w:rFonts w:ascii="Arial" w:hAnsi="Arial" w:cs="Arial"/>
        </w:rPr>
        <w:t>decision making</w:t>
      </w:r>
      <w:r w:rsidR="007375D8">
        <w:rPr>
          <w:rFonts w:ascii="Arial" w:hAnsi="Arial" w:cs="Arial"/>
        </w:rPr>
        <w:t xml:space="preserve"> across the shift</w:t>
      </w:r>
    </w:p>
    <w:p w14:paraId="3207045A" w14:textId="4B8D04FB" w:rsidR="00300948" w:rsidRPr="00300948" w:rsidRDefault="00300948" w:rsidP="00300948">
      <w:pPr>
        <w:pStyle w:val="ListParagraph"/>
        <w:numPr>
          <w:ilvl w:val="0"/>
          <w:numId w:val="26"/>
        </w:numPr>
        <w:rPr>
          <w:rFonts w:ascii="Arial" w:hAnsi="Arial" w:cs="Arial"/>
        </w:rPr>
      </w:pPr>
      <w:r>
        <w:rPr>
          <w:rFonts w:ascii="Arial" w:hAnsi="Arial" w:cs="Arial"/>
        </w:rPr>
        <w:lastRenderedPageBreak/>
        <w:t xml:space="preserve">Roadways – keep road systems </w:t>
      </w:r>
      <w:proofErr w:type="gramStart"/>
      <w:r>
        <w:rPr>
          <w:rFonts w:ascii="Arial" w:hAnsi="Arial" w:cs="Arial"/>
        </w:rPr>
        <w:t>up-to-date</w:t>
      </w:r>
      <w:proofErr w:type="gramEnd"/>
      <w:r>
        <w:rPr>
          <w:rFonts w:ascii="Arial" w:hAnsi="Arial" w:cs="Arial"/>
        </w:rPr>
        <w:t xml:space="preserve"> with little user intervention</w:t>
      </w:r>
    </w:p>
    <w:p w14:paraId="1F49D0DD" w14:textId="0962D218" w:rsidR="00400F9F" w:rsidRDefault="00400F9F" w:rsidP="00400F9F">
      <w:pPr>
        <w:pStyle w:val="ListParagraph"/>
        <w:numPr>
          <w:ilvl w:val="0"/>
          <w:numId w:val="26"/>
        </w:numPr>
        <w:rPr>
          <w:rFonts w:ascii="Arial" w:hAnsi="Arial" w:cs="Arial"/>
        </w:rPr>
      </w:pPr>
      <w:r>
        <w:rPr>
          <w:rFonts w:ascii="Arial" w:hAnsi="Arial" w:cs="Arial"/>
        </w:rPr>
        <w:t xml:space="preserve">Replenish </w:t>
      </w:r>
      <w:r w:rsidR="00F12363">
        <w:rPr>
          <w:rFonts w:ascii="Arial" w:hAnsi="Arial" w:cs="Arial"/>
        </w:rPr>
        <w:t>– refuel and recharg</w:t>
      </w:r>
      <w:r w:rsidR="007375D8">
        <w:rPr>
          <w:rFonts w:ascii="Arial" w:hAnsi="Arial" w:cs="Arial"/>
        </w:rPr>
        <w:t xml:space="preserve">e </w:t>
      </w:r>
      <w:r w:rsidR="00F12363">
        <w:rPr>
          <w:rFonts w:ascii="Arial" w:hAnsi="Arial" w:cs="Arial"/>
        </w:rPr>
        <w:t>mining equipment</w:t>
      </w:r>
      <w:r w:rsidR="007375D8">
        <w:rPr>
          <w:rFonts w:ascii="Arial" w:hAnsi="Arial" w:cs="Arial"/>
        </w:rPr>
        <w:t xml:space="preserve"> while minimizing impact to production</w:t>
      </w:r>
    </w:p>
    <w:p w14:paraId="65974F45" w14:textId="7F718B9B" w:rsidR="00400F9F" w:rsidRPr="00400F9F" w:rsidRDefault="00400F9F" w:rsidP="00400F9F">
      <w:pPr>
        <w:pStyle w:val="ListParagraph"/>
        <w:numPr>
          <w:ilvl w:val="0"/>
          <w:numId w:val="26"/>
        </w:numPr>
        <w:rPr>
          <w:rFonts w:ascii="Arial" w:hAnsi="Arial" w:cs="Arial"/>
        </w:rPr>
      </w:pPr>
      <w:r>
        <w:rPr>
          <w:rFonts w:ascii="Arial" w:hAnsi="Arial" w:cs="Arial"/>
        </w:rPr>
        <w:t>Look Ahead</w:t>
      </w:r>
      <w:r w:rsidR="00F12363">
        <w:rPr>
          <w:rFonts w:ascii="Arial" w:hAnsi="Arial" w:cs="Arial"/>
        </w:rPr>
        <w:t xml:space="preserve"> –</w:t>
      </w:r>
      <w:r w:rsidR="005D65A3">
        <w:rPr>
          <w:rFonts w:ascii="Arial" w:hAnsi="Arial" w:cs="Arial"/>
        </w:rPr>
        <w:t>execut</w:t>
      </w:r>
      <w:r w:rsidR="007375D8">
        <w:rPr>
          <w:rFonts w:ascii="Arial" w:hAnsi="Arial" w:cs="Arial"/>
        </w:rPr>
        <w:t>e</w:t>
      </w:r>
      <w:r w:rsidR="005D65A3">
        <w:rPr>
          <w:rFonts w:ascii="Arial" w:hAnsi="Arial" w:cs="Arial"/>
        </w:rPr>
        <w:t xml:space="preserve"> </w:t>
      </w:r>
      <w:r w:rsidR="007375D8">
        <w:rPr>
          <w:rFonts w:ascii="Arial" w:hAnsi="Arial" w:cs="Arial"/>
        </w:rPr>
        <w:t xml:space="preserve">multi-objective </w:t>
      </w:r>
      <w:r w:rsidR="005D65A3">
        <w:rPr>
          <w:rFonts w:ascii="Arial" w:hAnsi="Arial" w:cs="Arial"/>
        </w:rPr>
        <w:t>mine plans</w:t>
      </w:r>
      <w:r w:rsidR="007375D8">
        <w:rPr>
          <w:rFonts w:ascii="Arial" w:hAnsi="Arial" w:cs="Arial"/>
        </w:rPr>
        <w:t xml:space="preserve"> and take optimization to the next level</w:t>
      </w:r>
    </w:p>
    <w:p w14:paraId="20A1E4FA" w14:textId="77777777" w:rsidR="00A95C06" w:rsidRDefault="00A95C06" w:rsidP="007052FC">
      <w:pPr>
        <w:rPr>
          <w:rFonts w:ascii="Arial" w:hAnsi="Arial" w:cs="Arial"/>
        </w:rPr>
      </w:pPr>
    </w:p>
    <w:p w14:paraId="1D0B84FF" w14:textId="66A09001" w:rsidR="00487603" w:rsidRDefault="00487603" w:rsidP="006B316C">
      <w:pPr>
        <w:rPr>
          <w:rFonts w:ascii="Arial" w:hAnsi="Arial" w:cs="Arial"/>
        </w:rPr>
      </w:pPr>
      <w:r w:rsidRPr="00487603">
        <w:rPr>
          <w:rFonts w:ascii="Arial" w:hAnsi="Arial" w:cs="Arial"/>
        </w:rPr>
        <w:t xml:space="preserve">To learn more, visit Komatsu at booth </w:t>
      </w:r>
      <w:r w:rsidR="00007B53">
        <w:rPr>
          <w:rFonts w:ascii="Arial" w:hAnsi="Arial" w:cs="Arial"/>
        </w:rPr>
        <w:t>7132 in Central Hall</w:t>
      </w:r>
      <w:r w:rsidR="00D7517F">
        <w:rPr>
          <w:rFonts w:ascii="Arial" w:hAnsi="Arial" w:cs="Arial"/>
        </w:rPr>
        <w:t xml:space="preserve"> during MINExpo, Sept. 24-26, 2024</w:t>
      </w:r>
      <w:r w:rsidRPr="00487603">
        <w:rPr>
          <w:rFonts w:ascii="Arial" w:hAnsi="Arial" w:cs="Arial"/>
        </w:rPr>
        <w:t xml:space="preserve">. </w:t>
      </w:r>
    </w:p>
    <w:p w14:paraId="1A689749" w14:textId="77777777" w:rsidR="003076BD" w:rsidRDefault="003076BD" w:rsidP="006B316C">
      <w:pPr>
        <w:rPr>
          <w:rFonts w:ascii="Arial" w:hAnsi="Arial" w:cs="Arial"/>
        </w:rPr>
      </w:pPr>
    </w:p>
    <w:p w14:paraId="3B379A1D" w14:textId="77777777" w:rsidR="0083238E" w:rsidRPr="004363E3" w:rsidRDefault="0083238E" w:rsidP="0083238E">
      <w:pPr>
        <w:autoSpaceDE w:val="0"/>
        <w:autoSpaceDN w:val="0"/>
        <w:adjustRightInd w:val="0"/>
        <w:spacing w:after="0" w:line="240" w:lineRule="auto"/>
        <w:rPr>
          <w:rFonts w:ascii="Arial" w:hAnsi="Arial" w:cs="Arial"/>
          <w:b/>
        </w:rPr>
      </w:pPr>
      <w:r w:rsidRPr="004363E3">
        <w:rPr>
          <w:rFonts w:ascii="Arial" w:hAnsi="Arial" w:cs="Arial"/>
          <w:b/>
        </w:rPr>
        <w:t>About Komatsu</w:t>
      </w:r>
    </w:p>
    <w:p w14:paraId="01EFE05F" w14:textId="5E844E77" w:rsidR="0083238E" w:rsidRDefault="008E58D2" w:rsidP="0083238E">
      <w:pPr>
        <w:autoSpaceDE w:val="0"/>
        <w:autoSpaceDN w:val="0"/>
        <w:adjustRightInd w:val="0"/>
        <w:spacing w:after="0" w:line="240" w:lineRule="auto"/>
        <w:rPr>
          <w:rFonts w:ascii="Arial" w:hAnsi="Arial" w:cs="Arial"/>
        </w:rPr>
      </w:pPr>
      <w:r w:rsidRPr="008E58D2">
        <w:rPr>
          <w:rFonts w:ascii="Arial" w:hAnsi="Arial" w:cs="Arial"/>
        </w:rPr>
        <w:t>Komatsu develops and supplies technologies, equipment and services for the construction, mining, forklift, industrial and forestry markets. For more than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manage forests and create consumer products. The company's global service and distributor networks support customer</w:t>
      </w:r>
      <w:r>
        <w:rPr>
          <w:rFonts w:ascii="Arial" w:hAnsi="Arial" w:cs="Arial"/>
        </w:rPr>
        <w:t xml:space="preserve"> </w:t>
      </w:r>
      <w:r w:rsidRPr="008E58D2">
        <w:rPr>
          <w:rFonts w:ascii="Arial" w:hAnsi="Arial" w:cs="Arial"/>
        </w:rPr>
        <w:t xml:space="preserve">operations to help enhance safety and promote productivity while working to optimize performance. Learn more at </w:t>
      </w:r>
      <w:hyperlink r:id="rId12" w:tgtFrame="_blank" w:tooltip="http://www.komatsu.com/" w:history="1">
        <w:r w:rsidRPr="008E58D2">
          <w:rPr>
            <w:rStyle w:val="Hyperlink"/>
            <w:rFonts w:ascii="Arial" w:hAnsi="Arial" w:cs="Arial"/>
          </w:rPr>
          <w:t>www.komatsu.com</w:t>
        </w:r>
      </w:hyperlink>
      <w:r w:rsidRPr="008E58D2">
        <w:rPr>
          <w:rFonts w:ascii="Arial" w:hAnsi="Arial" w:cs="Arial"/>
        </w:rPr>
        <w:t>.</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47358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736E2"/>
    <w:multiLevelType w:val="hybridMultilevel"/>
    <w:tmpl w:val="7938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73F56"/>
    <w:multiLevelType w:val="hybridMultilevel"/>
    <w:tmpl w:val="0BD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706B3E"/>
    <w:multiLevelType w:val="hybridMultilevel"/>
    <w:tmpl w:val="D8C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9"/>
  </w:num>
  <w:num w:numId="2" w16cid:durableId="1437600001">
    <w:abstractNumId w:val="9"/>
  </w:num>
  <w:num w:numId="3" w16cid:durableId="475731482">
    <w:abstractNumId w:val="3"/>
  </w:num>
  <w:num w:numId="4" w16cid:durableId="1808160971">
    <w:abstractNumId w:val="10"/>
  </w:num>
  <w:num w:numId="5" w16cid:durableId="318929404">
    <w:abstractNumId w:val="8"/>
  </w:num>
  <w:num w:numId="6" w16cid:durableId="1105885739">
    <w:abstractNumId w:val="14"/>
  </w:num>
  <w:num w:numId="7" w16cid:durableId="385956421">
    <w:abstractNumId w:val="18"/>
  </w:num>
  <w:num w:numId="8" w16cid:durableId="68386651">
    <w:abstractNumId w:val="22"/>
  </w:num>
  <w:num w:numId="9" w16cid:durableId="2047558885">
    <w:abstractNumId w:val="11"/>
  </w:num>
  <w:num w:numId="10" w16cid:durableId="1359117006">
    <w:abstractNumId w:val="7"/>
  </w:num>
  <w:num w:numId="11" w16cid:durableId="1247154086">
    <w:abstractNumId w:val="12"/>
  </w:num>
  <w:num w:numId="12" w16cid:durableId="1260719437">
    <w:abstractNumId w:val="15"/>
  </w:num>
  <w:num w:numId="13" w16cid:durableId="1028021723">
    <w:abstractNumId w:val="24"/>
  </w:num>
  <w:num w:numId="14" w16cid:durableId="370152790">
    <w:abstractNumId w:val="20"/>
  </w:num>
  <w:num w:numId="15" w16cid:durableId="785084679">
    <w:abstractNumId w:val="1"/>
  </w:num>
  <w:num w:numId="16" w16cid:durableId="910895382">
    <w:abstractNumId w:val="17"/>
  </w:num>
  <w:num w:numId="17" w16cid:durableId="1546599815">
    <w:abstractNumId w:val="2"/>
  </w:num>
  <w:num w:numId="18" w16cid:durableId="1997297535">
    <w:abstractNumId w:val="19"/>
  </w:num>
  <w:num w:numId="19" w16cid:durableId="936213496">
    <w:abstractNumId w:val="21"/>
  </w:num>
  <w:num w:numId="20" w16cid:durableId="428505495">
    <w:abstractNumId w:val="23"/>
  </w:num>
  <w:num w:numId="21" w16cid:durableId="1762485765">
    <w:abstractNumId w:val="0"/>
  </w:num>
  <w:num w:numId="22" w16cid:durableId="2060546707">
    <w:abstractNumId w:val="6"/>
  </w:num>
  <w:num w:numId="23" w16cid:durableId="1079640876">
    <w:abstractNumId w:val="13"/>
  </w:num>
  <w:num w:numId="24" w16cid:durableId="216667370">
    <w:abstractNumId w:val="4"/>
  </w:num>
  <w:num w:numId="25" w16cid:durableId="1681155337">
    <w:abstractNumId w:val="16"/>
  </w:num>
  <w:num w:numId="26" w16cid:durableId="1682121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5EE"/>
    <w:rsid w:val="00002255"/>
    <w:rsid w:val="00007B53"/>
    <w:rsid w:val="00016726"/>
    <w:rsid w:val="00017E9E"/>
    <w:rsid w:val="000207D8"/>
    <w:rsid w:val="00020D4B"/>
    <w:rsid w:val="00026537"/>
    <w:rsid w:val="00027E31"/>
    <w:rsid w:val="00030E53"/>
    <w:rsid w:val="00032481"/>
    <w:rsid w:val="00037131"/>
    <w:rsid w:val="000419E5"/>
    <w:rsid w:val="00042D07"/>
    <w:rsid w:val="00044C28"/>
    <w:rsid w:val="00054D32"/>
    <w:rsid w:val="0005510A"/>
    <w:rsid w:val="00057036"/>
    <w:rsid w:val="000614AA"/>
    <w:rsid w:val="00062322"/>
    <w:rsid w:val="00065C1E"/>
    <w:rsid w:val="000700C7"/>
    <w:rsid w:val="00070BD9"/>
    <w:rsid w:val="00077782"/>
    <w:rsid w:val="00080346"/>
    <w:rsid w:val="00081A30"/>
    <w:rsid w:val="00082BEB"/>
    <w:rsid w:val="0009570B"/>
    <w:rsid w:val="00097ACD"/>
    <w:rsid w:val="000A1B9A"/>
    <w:rsid w:val="000A21EB"/>
    <w:rsid w:val="000A5E43"/>
    <w:rsid w:val="000B423E"/>
    <w:rsid w:val="000C54AD"/>
    <w:rsid w:val="000C5EA5"/>
    <w:rsid w:val="000D0984"/>
    <w:rsid w:val="000D1B5A"/>
    <w:rsid w:val="000D3C39"/>
    <w:rsid w:val="000D59E9"/>
    <w:rsid w:val="000D70BE"/>
    <w:rsid w:val="000D751D"/>
    <w:rsid w:val="000E145A"/>
    <w:rsid w:val="000E2B09"/>
    <w:rsid w:val="000E6014"/>
    <w:rsid w:val="000E6ECF"/>
    <w:rsid w:val="000F2066"/>
    <w:rsid w:val="000F4904"/>
    <w:rsid w:val="0010163E"/>
    <w:rsid w:val="0010233D"/>
    <w:rsid w:val="00106379"/>
    <w:rsid w:val="00107C37"/>
    <w:rsid w:val="00111349"/>
    <w:rsid w:val="00115F6F"/>
    <w:rsid w:val="0012034B"/>
    <w:rsid w:val="0012199E"/>
    <w:rsid w:val="0012469A"/>
    <w:rsid w:val="0012672A"/>
    <w:rsid w:val="00127AB7"/>
    <w:rsid w:val="001300AB"/>
    <w:rsid w:val="0013013A"/>
    <w:rsid w:val="00132E1A"/>
    <w:rsid w:val="00133C3F"/>
    <w:rsid w:val="0013682A"/>
    <w:rsid w:val="0014278F"/>
    <w:rsid w:val="0014646B"/>
    <w:rsid w:val="00152B84"/>
    <w:rsid w:val="00163E2B"/>
    <w:rsid w:val="00172515"/>
    <w:rsid w:val="00172E71"/>
    <w:rsid w:val="00172F1D"/>
    <w:rsid w:val="00174ADC"/>
    <w:rsid w:val="00182580"/>
    <w:rsid w:val="001844FA"/>
    <w:rsid w:val="0018610F"/>
    <w:rsid w:val="00190393"/>
    <w:rsid w:val="00191994"/>
    <w:rsid w:val="00193708"/>
    <w:rsid w:val="00196D15"/>
    <w:rsid w:val="00197FC4"/>
    <w:rsid w:val="001A13D0"/>
    <w:rsid w:val="001A2F78"/>
    <w:rsid w:val="001A6E48"/>
    <w:rsid w:val="001A75C3"/>
    <w:rsid w:val="001B1DE3"/>
    <w:rsid w:val="001B3937"/>
    <w:rsid w:val="001B4849"/>
    <w:rsid w:val="001C1687"/>
    <w:rsid w:val="001C2781"/>
    <w:rsid w:val="001C2963"/>
    <w:rsid w:val="001C32F9"/>
    <w:rsid w:val="001C378E"/>
    <w:rsid w:val="001C6AE4"/>
    <w:rsid w:val="001D2E6D"/>
    <w:rsid w:val="001D3D54"/>
    <w:rsid w:val="001D7410"/>
    <w:rsid w:val="001E2DCF"/>
    <w:rsid w:val="001E65EF"/>
    <w:rsid w:val="001E6C1B"/>
    <w:rsid w:val="001F33BF"/>
    <w:rsid w:val="001F3BC7"/>
    <w:rsid w:val="001F6970"/>
    <w:rsid w:val="001F6EBA"/>
    <w:rsid w:val="002014DC"/>
    <w:rsid w:val="002035BF"/>
    <w:rsid w:val="0020684A"/>
    <w:rsid w:val="00212DF5"/>
    <w:rsid w:val="00216547"/>
    <w:rsid w:val="002237DE"/>
    <w:rsid w:val="00224704"/>
    <w:rsid w:val="00231132"/>
    <w:rsid w:val="00236674"/>
    <w:rsid w:val="00237BBB"/>
    <w:rsid w:val="002418B0"/>
    <w:rsid w:val="00243150"/>
    <w:rsid w:val="002436CF"/>
    <w:rsid w:val="00243CD6"/>
    <w:rsid w:val="00245AD2"/>
    <w:rsid w:val="00246116"/>
    <w:rsid w:val="00265AAD"/>
    <w:rsid w:val="00266796"/>
    <w:rsid w:val="00270609"/>
    <w:rsid w:val="00271719"/>
    <w:rsid w:val="00271CF8"/>
    <w:rsid w:val="0027294D"/>
    <w:rsid w:val="00274FBE"/>
    <w:rsid w:val="0027510F"/>
    <w:rsid w:val="002802E4"/>
    <w:rsid w:val="0028229A"/>
    <w:rsid w:val="00283BA8"/>
    <w:rsid w:val="00284FFC"/>
    <w:rsid w:val="00287B90"/>
    <w:rsid w:val="00292D3C"/>
    <w:rsid w:val="00296B7A"/>
    <w:rsid w:val="002A09A2"/>
    <w:rsid w:val="002A4837"/>
    <w:rsid w:val="002A673E"/>
    <w:rsid w:val="002B1683"/>
    <w:rsid w:val="002B1B4D"/>
    <w:rsid w:val="002B38F6"/>
    <w:rsid w:val="002B39C8"/>
    <w:rsid w:val="002B6000"/>
    <w:rsid w:val="002C3E34"/>
    <w:rsid w:val="002C7BB6"/>
    <w:rsid w:val="002D0D42"/>
    <w:rsid w:val="002D100D"/>
    <w:rsid w:val="002D4AEC"/>
    <w:rsid w:val="002D59FC"/>
    <w:rsid w:val="002D5E06"/>
    <w:rsid w:val="002E1193"/>
    <w:rsid w:val="002E18B5"/>
    <w:rsid w:val="002E3354"/>
    <w:rsid w:val="002E46C8"/>
    <w:rsid w:val="002E6D06"/>
    <w:rsid w:val="002F009D"/>
    <w:rsid w:val="002F2DFA"/>
    <w:rsid w:val="002F5AFE"/>
    <w:rsid w:val="002F7101"/>
    <w:rsid w:val="00300948"/>
    <w:rsid w:val="00301CA4"/>
    <w:rsid w:val="00302114"/>
    <w:rsid w:val="003021D3"/>
    <w:rsid w:val="003033E5"/>
    <w:rsid w:val="0030558B"/>
    <w:rsid w:val="003076BD"/>
    <w:rsid w:val="00307DED"/>
    <w:rsid w:val="00310B51"/>
    <w:rsid w:val="003306C9"/>
    <w:rsid w:val="00331D51"/>
    <w:rsid w:val="00333AA5"/>
    <w:rsid w:val="00334822"/>
    <w:rsid w:val="00343D4B"/>
    <w:rsid w:val="00343E02"/>
    <w:rsid w:val="00350C73"/>
    <w:rsid w:val="00351051"/>
    <w:rsid w:val="00351EF9"/>
    <w:rsid w:val="00352040"/>
    <w:rsid w:val="0035337E"/>
    <w:rsid w:val="003624BD"/>
    <w:rsid w:val="0037389D"/>
    <w:rsid w:val="00375AC7"/>
    <w:rsid w:val="003765A0"/>
    <w:rsid w:val="003827B2"/>
    <w:rsid w:val="00385BEC"/>
    <w:rsid w:val="00386120"/>
    <w:rsid w:val="00387C9F"/>
    <w:rsid w:val="00387F07"/>
    <w:rsid w:val="00391878"/>
    <w:rsid w:val="003A6441"/>
    <w:rsid w:val="003B19D6"/>
    <w:rsid w:val="003B4310"/>
    <w:rsid w:val="003B5D7F"/>
    <w:rsid w:val="003B7205"/>
    <w:rsid w:val="003D2528"/>
    <w:rsid w:val="003D4C01"/>
    <w:rsid w:val="003D50EB"/>
    <w:rsid w:val="003D6B45"/>
    <w:rsid w:val="003E0C3D"/>
    <w:rsid w:val="003E2C73"/>
    <w:rsid w:val="003E6CA6"/>
    <w:rsid w:val="003E7CE7"/>
    <w:rsid w:val="003F0307"/>
    <w:rsid w:val="003F5AA0"/>
    <w:rsid w:val="00400435"/>
    <w:rsid w:val="00400F9F"/>
    <w:rsid w:val="00405F38"/>
    <w:rsid w:val="00423834"/>
    <w:rsid w:val="0042521B"/>
    <w:rsid w:val="0043389A"/>
    <w:rsid w:val="004363E3"/>
    <w:rsid w:val="00441313"/>
    <w:rsid w:val="004421D7"/>
    <w:rsid w:val="00454D3E"/>
    <w:rsid w:val="00456887"/>
    <w:rsid w:val="004604B9"/>
    <w:rsid w:val="00465978"/>
    <w:rsid w:val="004678C6"/>
    <w:rsid w:val="004721CA"/>
    <w:rsid w:val="00473589"/>
    <w:rsid w:val="00477664"/>
    <w:rsid w:val="004826DE"/>
    <w:rsid w:val="00484F74"/>
    <w:rsid w:val="00485EF7"/>
    <w:rsid w:val="00487603"/>
    <w:rsid w:val="00487731"/>
    <w:rsid w:val="004926D6"/>
    <w:rsid w:val="00493ABB"/>
    <w:rsid w:val="00494CCD"/>
    <w:rsid w:val="004A4AA8"/>
    <w:rsid w:val="004A634B"/>
    <w:rsid w:val="004C16D0"/>
    <w:rsid w:val="004C2652"/>
    <w:rsid w:val="004C7BDC"/>
    <w:rsid w:val="004C7FBD"/>
    <w:rsid w:val="004E5757"/>
    <w:rsid w:val="004F071D"/>
    <w:rsid w:val="004F124F"/>
    <w:rsid w:val="004F181D"/>
    <w:rsid w:val="00501306"/>
    <w:rsid w:val="005047A5"/>
    <w:rsid w:val="00505D9B"/>
    <w:rsid w:val="00506512"/>
    <w:rsid w:val="0051070F"/>
    <w:rsid w:val="00510EEB"/>
    <w:rsid w:val="005129CE"/>
    <w:rsid w:val="005139F0"/>
    <w:rsid w:val="0051428E"/>
    <w:rsid w:val="005202A0"/>
    <w:rsid w:val="00525C75"/>
    <w:rsid w:val="0053609B"/>
    <w:rsid w:val="0054296F"/>
    <w:rsid w:val="00554A3F"/>
    <w:rsid w:val="0055505B"/>
    <w:rsid w:val="005609BB"/>
    <w:rsid w:val="00570B70"/>
    <w:rsid w:val="0057220D"/>
    <w:rsid w:val="005737F0"/>
    <w:rsid w:val="00575553"/>
    <w:rsid w:val="0058300A"/>
    <w:rsid w:val="005950A9"/>
    <w:rsid w:val="005A1520"/>
    <w:rsid w:val="005A3CEE"/>
    <w:rsid w:val="005A47E1"/>
    <w:rsid w:val="005B3422"/>
    <w:rsid w:val="005B5047"/>
    <w:rsid w:val="005C1C17"/>
    <w:rsid w:val="005C222B"/>
    <w:rsid w:val="005C2FA5"/>
    <w:rsid w:val="005C49BA"/>
    <w:rsid w:val="005C7530"/>
    <w:rsid w:val="005C7546"/>
    <w:rsid w:val="005C79C8"/>
    <w:rsid w:val="005D276B"/>
    <w:rsid w:val="005D35E1"/>
    <w:rsid w:val="005D6311"/>
    <w:rsid w:val="005D65A3"/>
    <w:rsid w:val="005E1347"/>
    <w:rsid w:val="005E3849"/>
    <w:rsid w:val="005E773E"/>
    <w:rsid w:val="00600678"/>
    <w:rsid w:val="00605E2D"/>
    <w:rsid w:val="00607A32"/>
    <w:rsid w:val="006138A2"/>
    <w:rsid w:val="00614827"/>
    <w:rsid w:val="006149E0"/>
    <w:rsid w:val="00615496"/>
    <w:rsid w:val="00626222"/>
    <w:rsid w:val="0062663F"/>
    <w:rsid w:val="00637528"/>
    <w:rsid w:val="00644120"/>
    <w:rsid w:val="006478CD"/>
    <w:rsid w:val="00651096"/>
    <w:rsid w:val="00652ECF"/>
    <w:rsid w:val="0065340D"/>
    <w:rsid w:val="00663195"/>
    <w:rsid w:val="00663D93"/>
    <w:rsid w:val="006641BB"/>
    <w:rsid w:val="006660C4"/>
    <w:rsid w:val="00666131"/>
    <w:rsid w:val="00667FAE"/>
    <w:rsid w:val="00681B29"/>
    <w:rsid w:val="00686BBB"/>
    <w:rsid w:val="00686CC0"/>
    <w:rsid w:val="00690A46"/>
    <w:rsid w:val="006A1F39"/>
    <w:rsid w:val="006A3F56"/>
    <w:rsid w:val="006B1207"/>
    <w:rsid w:val="006B29A1"/>
    <w:rsid w:val="006B316C"/>
    <w:rsid w:val="006C3AFD"/>
    <w:rsid w:val="006C4353"/>
    <w:rsid w:val="006D3073"/>
    <w:rsid w:val="006D4F67"/>
    <w:rsid w:val="006D6EF5"/>
    <w:rsid w:val="006F5A91"/>
    <w:rsid w:val="006F7905"/>
    <w:rsid w:val="006F7923"/>
    <w:rsid w:val="00702441"/>
    <w:rsid w:val="007052FC"/>
    <w:rsid w:val="007053DA"/>
    <w:rsid w:val="00707E21"/>
    <w:rsid w:val="0071094A"/>
    <w:rsid w:val="007120E8"/>
    <w:rsid w:val="0071719C"/>
    <w:rsid w:val="00717CA0"/>
    <w:rsid w:val="0072092E"/>
    <w:rsid w:val="007263EC"/>
    <w:rsid w:val="007279FC"/>
    <w:rsid w:val="007314BF"/>
    <w:rsid w:val="00733EF6"/>
    <w:rsid w:val="00735684"/>
    <w:rsid w:val="007375D8"/>
    <w:rsid w:val="00737DE3"/>
    <w:rsid w:val="00737E59"/>
    <w:rsid w:val="00740609"/>
    <w:rsid w:val="007441DC"/>
    <w:rsid w:val="007461B3"/>
    <w:rsid w:val="00751737"/>
    <w:rsid w:val="00751751"/>
    <w:rsid w:val="00751AF3"/>
    <w:rsid w:val="0075237B"/>
    <w:rsid w:val="00754081"/>
    <w:rsid w:val="0075439B"/>
    <w:rsid w:val="00754D73"/>
    <w:rsid w:val="00755A74"/>
    <w:rsid w:val="0075767D"/>
    <w:rsid w:val="00772BE2"/>
    <w:rsid w:val="00774C87"/>
    <w:rsid w:val="00776F90"/>
    <w:rsid w:val="007814E3"/>
    <w:rsid w:val="0078170A"/>
    <w:rsid w:val="00781A68"/>
    <w:rsid w:val="007847E7"/>
    <w:rsid w:val="00785CE1"/>
    <w:rsid w:val="00790094"/>
    <w:rsid w:val="00790337"/>
    <w:rsid w:val="00793532"/>
    <w:rsid w:val="007953B2"/>
    <w:rsid w:val="007A1087"/>
    <w:rsid w:val="007A461E"/>
    <w:rsid w:val="007A5103"/>
    <w:rsid w:val="007A5777"/>
    <w:rsid w:val="007A5BC3"/>
    <w:rsid w:val="007A6E19"/>
    <w:rsid w:val="007B0726"/>
    <w:rsid w:val="007B1562"/>
    <w:rsid w:val="007C3E06"/>
    <w:rsid w:val="007D56D3"/>
    <w:rsid w:val="007F2DA0"/>
    <w:rsid w:val="007F44D1"/>
    <w:rsid w:val="007F5CB9"/>
    <w:rsid w:val="00802663"/>
    <w:rsid w:val="00803DA8"/>
    <w:rsid w:val="008042A7"/>
    <w:rsid w:val="0080480D"/>
    <w:rsid w:val="00806089"/>
    <w:rsid w:val="00806D87"/>
    <w:rsid w:val="0081080A"/>
    <w:rsid w:val="00815F57"/>
    <w:rsid w:val="00822B19"/>
    <w:rsid w:val="00823F24"/>
    <w:rsid w:val="0082614F"/>
    <w:rsid w:val="0083016B"/>
    <w:rsid w:val="0083238E"/>
    <w:rsid w:val="00834D65"/>
    <w:rsid w:val="00841A38"/>
    <w:rsid w:val="00841EE8"/>
    <w:rsid w:val="00842251"/>
    <w:rsid w:val="00847B14"/>
    <w:rsid w:val="0085505E"/>
    <w:rsid w:val="008565FB"/>
    <w:rsid w:val="00856AEA"/>
    <w:rsid w:val="00866919"/>
    <w:rsid w:val="00866AD2"/>
    <w:rsid w:val="00867175"/>
    <w:rsid w:val="008717D5"/>
    <w:rsid w:val="00871B20"/>
    <w:rsid w:val="0087407C"/>
    <w:rsid w:val="008751FD"/>
    <w:rsid w:val="00875A0A"/>
    <w:rsid w:val="0087616E"/>
    <w:rsid w:val="00876207"/>
    <w:rsid w:val="008801BE"/>
    <w:rsid w:val="00885CA2"/>
    <w:rsid w:val="00891DE8"/>
    <w:rsid w:val="00892B45"/>
    <w:rsid w:val="0089378C"/>
    <w:rsid w:val="00894941"/>
    <w:rsid w:val="00896F3F"/>
    <w:rsid w:val="008A1047"/>
    <w:rsid w:val="008A2347"/>
    <w:rsid w:val="008A3F75"/>
    <w:rsid w:val="008B01F3"/>
    <w:rsid w:val="008B4E0F"/>
    <w:rsid w:val="008B5A06"/>
    <w:rsid w:val="008C4069"/>
    <w:rsid w:val="008C533E"/>
    <w:rsid w:val="008C5768"/>
    <w:rsid w:val="008D36BA"/>
    <w:rsid w:val="008D3B0E"/>
    <w:rsid w:val="008D794B"/>
    <w:rsid w:val="008E12B5"/>
    <w:rsid w:val="008E58D2"/>
    <w:rsid w:val="00905452"/>
    <w:rsid w:val="00911DD4"/>
    <w:rsid w:val="00914FEA"/>
    <w:rsid w:val="00915B55"/>
    <w:rsid w:val="00920105"/>
    <w:rsid w:val="00921106"/>
    <w:rsid w:val="009220A0"/>
    <w:rsid w:val="009260D5"/>
    <w:rsid w:val="00927F2D"/>
    <w:rsid w:val="00941411"/>
    <w:rsid w:val="009430BB"/>
    <w:rsid w:val="00952664"/>
    <w:rsid w:val="00960574"/>
    <w:rsid w:val="009628F9"/>
    <w:rsid w:val="009678D6"/>
    <w:rsid w:val="00972D15"/>
    <w:rsid w:val="00977A99"/>
    <w:rsid w:val="009814C4"/>
    <w:rsid w:val="009851EE"/>
    <w:rsid w:val="009903CA"/>
    <w:rsid w:val="009926F6"/>
    <w:rsid w:val="009971BD"/>
    <w:rsid w:val="0099737C"/>
    <w:rsid w:val="009A3F6C"/>
    <w:rsid w:val="009B409C"/>
    <w:rsid w:val="009B49E7"/>
    <w:rsid w:val="009D2BE8"/>
    <w:rsid w:val="009D4CCA"/>
    <w:rsid w:val="009F56AB"/>
    <w:rsid w:val="00A11112"/>
    <w:rsid w:val="00A11732"/>
    <w:rsid w:val="00A1217F"/>
    <w:rsid w:val="00A1765E"/>
    <w:rsid w:val="00A17DB9"/>
    <w:rsid w:val="00A326CD"/>
    <w:rsid w:val="00A40BB4"/>
    <w:rsid w:val="00A41A10"/>
    <w:rsid w:val="00A46E45"/>
    <w:rsid w:val="00A62198"/>
    <w:rsid w:val="00A626F5"/>
    <w:rsid w:val="00A67176"/>
    <w:rsid w:val="00A7303D"/>
    <w:rsid w:val="00A7707A"/>
    <w:rsid w:val="00A770FC"/>
    <w:rsid w:val="00A90785"/>
    <w:rsid w:val="00A95C06"/>
    <w:rsid w:val="00AA1393"/>
    <w:rsid w:val="00AA4F27"/>
    <w:rsid w:val="00AB7341"/>
    <w:rsid w:val="00AC08C1"/>
    <w:rsid w:val="00AD0DD4"/>
    <w:rsid w:val="00AD1B74"/>
    <w:rsid w:val="00AD53C4"/>
    <w:rsid w:val="00AD6945"/>
    <w:rsid w:val="00AE064E"/>
    <w:rsid w:val="00AE283B"/>
    <w:rsid w:val="00AE5185"/>
    <w:rsid w:val="00AE5C49"/>
    <w:rsid w:val="00AE6527"/>
    <w:rsid w:val="00AE6FFD"/>
    <w:rsid w:val="00AF205D"/>
    <w:rsid w:val="00AF6187"/>
    <w:rsid w:val="00B0025C"/>
    <w:rsid w:val="00B00C7A"/>
    <w:rsid w:val="00B0225A"/>
    <w:rsid w:val="00B0696C"/>
    <w:rsid w:val="00B1243D"/>
    <w:rsid w:val="00B20D9A"/>
    <w:rsid w:val="00B23E09"/>
    <w:rsid w:val="00B24420"/>
    <w:rsid w:val="00B44DBF"/>
    <w:rsid w:val="00B45104"/>
    <w:rsid w:val="00B60C39"/>
    <w:rsid w:val="00B65689"/>
    <w:rsid w:val="00B72B5B"/>
    <w:rsid w:val="00B738C7"/>
    <w:rsid w:val="00B7703A"/>
    <w:rsid w:val="00B77447"/>
    <w:rsid w:val="00B8038D"/>
    <w:rsid w:val="00B83C30"/>
    <w:rsid w:val="00B91AD2"/>
    <w:rsid w:val="00BA18BA"/>
    <w:rsid w:val="00BA30B3"/>
    <w:rsid w:val="00BA3C36"/>
    <w:rsid w:val="00BB0495"/>
    <w:rsid w:val="00BB1EF9"/>
    <w:rsid w:val="00BB2020"/>
    <w:rsid w:val="00BB28F4"/>
    <w:rsid w:val="00BB367D"/>
    <w:rsid w:val="00BB4456"/>
    <w:rsid w:val="00BB74D0"/>
    <w:rsid w:val="00BC0E4E"/>
    <w:rsid w:val="00BC211F"/>
    <w:rsid w:val="00BD268D"/>
    <w:rsid w:val="00BD307A"/>
    <w:rsid w:val="00BD3C2D"/>
    <w:rsid w:val="00BD4655"/>
    <w:rsid w:val="00BD5E07"/>
    <w:rsid w:val="00BD66C2"/>
    <w:rsid w:val="00BD75F3"/>
    <w:rsid w:val="00BE093C"/>
    <w:rsid w:val="00BE11F9"/>
    <w:rsid w:val="00BF1BF3"/>
    <w:rsid w:val="00BF53C2"/>
    <w:rsid w:val="00C047C7"/>
    <w:rsid w:val="00C04E36"/>
    <w:rsid w:val="00C13242"/>
    <w:rsid w:val="00C23BF7"/>
    <w:rsid w:val="00C24597"/>
    <w:rsid w:val="00C261B8"/>
    <w:rsid w:val="00C3037E"/>
    <w:rsid w:val="00C3063B"/>
    <w:rsid w:val="00C3189C"/>
    <w:rsid w:val="00C33454"/>
    <w:rsid w:val="00C36289"/>
    <w:rsid w:val="00C37104"/>
    <w:rsid w:val="00C40D48"/>
    <w:rsid w:val="00C4246C"/>
    <w:rsid w:val="00C433FC"/>
    <w:rsid w:val="00C47CB1"/>
    <w:rsid w:val="00C5010C"/>
    <w:rsid w:val="00C5699B"/>
    <w:rsid w:val="00C6514D"/>
    <w:rsid w:val="00C65AC7"/>
    <w:rsid w:val="00C65CB8"/>
    <w:rsid w:val="00C661D4"/>
    <w:rsid w:val="00C73ADC"/>
    <w:rsid w:val="00C73C81"/>
    <w:rsid w:val="00C81563"/>
    <w:rsid w:val="00C84B64"/>
    <w:rsid w:val="00C91C71"/>
    <w:rsid w:val="00C953DC"/>
    <w:rsid w:val="00C969B1"/>
    <w:rsid w:val="00C97BCC"/>
    <w:rsid w:val="00CA2934"/>
    <w:rsid w:val="00CA3CF8"/>
    <w:rsid w:val="00CA7A65"/>
    <w:rsid w:val="00CB0349"/>
    <w:rsid w:val="00CB1DDB"/>
    <w:rsid w:val="00CB3EF2"/>
    <w:rsid w:val="00CB593F"/>
    <w:rsid w:val="00CB6AB7"/>
    <w:rsid w:val="00CC13C3"/>
    <w:rsid w:val="00CC3311"/>
    <w:rsid w:val="00CC3858"/>
    <w:rsid w:val="00CC4A9D"/>
    <w:rsid w:val="00CC615A"/>
    <w:rsid w:val="00CC67AC"/>
    <w:rsid w:val="00CE303C"/>
    <w:rsid w:val="00CE3AE9"/>
    <w:rsid w:val="00CE63B8"/>
    <w:rsid w:val="00CE6B95"/>
    <w:rsid w:val="00CF3584"/>
    <w:rsid w:val="00CF3B58"/>
    <w:rsid w:val="00CF4859"/>
    <w:rsid w:val="00CF5DB0"/>
    <w:rsid w:val="00D01202"/>
    <w:rsid w:val="00D036DF"/>
    <w:rsid w:val="00D07304"/>
    <w:rsid w:val="00D10741"/>
    <w:rsid w:val="00D12260"/>
    <w:rsid w:val="00D15EB9"/>
    <w:rsid w:val="00D217AF"/>
    <w:rsid w:val="00D308E4"/>
    <w:rsid w:val="00D4070A"/>
    <w:rsid w:val="00D4580A"/>
    <w:rsid w:val="00D47AE5"/>
    <w:rsid w:val="00D502EC"/>
    <w:rsid w:val="00D50CA3"/>
    <w:rsid w:val="00D5706E"/>
    <w:rsid w:val="00D62461"/>
    <w:rsid w:val="00D62BC5"/>
    <w:rsid w:val="00D63B92"/>
    <w:rsid w:val="00D7517F"/>
    <w:rsid w:val="00D77B92"/>
    <w:rsid w:val="00D77F84"/>
    <w:rsid w:val="00D82624"/>
    <w:rsid w:val="00D84A20"/>
    <w:rsid w:val="00D91E90"/>
    <w:rsid w:val="00D95E8F"/>
    <w:rsid w:val="00DA1315"/>
    <w:rsid w:val="00DA3E75"/>
    <w:rsid w:val="00DA5673"/>
    <w:rsid w:val="00DA6708"/>
    <w:rsid w:val="00DB226F"/>
    <w:rsid w:val="00DB409E"/>
    <w:rsid w:val="00DB717D"/>
    <w:rsid w:val="00DB767A"/>
    <w:rsid w:val="00DC118B"/>
    <w:rsid w:val="00DC290F"/>
    <w:rsid w:val="00DC2E32"/>
    <w:rsid w:val="00DC6D4C"/>
    <w:rsid w:val="00DD0661"/>
    <w:rsid w:val="00DD49AD"/>
    <w:rsid w:val="00DE3898"/>
    <w:rsid w:val="00DE3B5C"/>
    <w:rsid w:val="00DE6D21"/>
    <w:rsid w:val="00DF315E"/>
    <w:rsid w:val="00DF3385"/>
    <w:rsid w:val="00E013D6"/>
    <w:rsid w:val="00E20560"/>
    <w:rsid w:val="00E21597"/>
    <w:rsid w:val="00E242AF"/>
    <w:rsid w:val="00E2728A"/>
    <w:rsid w:val="00E32781"/>
    <w:rsid w:val="00E34022"/>
    <w:rsid w:val="00E36517"/>
    <w:rsid w:val="00E43E82"/>
    <w:rsid w:val="00E50494"/>
    <w:rsid w:val="00E532BF"/>
    <w:rsid w:val="00E53918"/>
    <w:rsid w:val="00E53C28"/>
    <w:rsid w:val="00E55B68"/>
    <w:rsid w:val="00E62242"/>
    <w:rsid w:val="00E64259"/>
    <w:rsid w:val="00E645FA"/>
    <w:rsid w:val="00E71A93"/>
    <w:rsid w:val="00E7567A"/>
    <w:rsid w:val="00E8492F"/>
    <w:rsid w:val="00E93C99"/>
    <w:rsid w:val="00E93D16"/>
    <w:rsid w:val="00E94728"/>
    <w:rsid w:val="00EA0B06"/>
    <w:rsid w:val="00EA6B8C"/>
    <w:rsid w:val="00EA6EE1"/>
    <w:rsid w:val="00EB1FC0"/>
    <w:rsid w:val="00EB4490"/>
    <w:rsid w:val="00EB4FBB"/>
    <w:rsid w:val="00EB5AA2"/>
    <w:rsid w:val="00EC023C"/>
    <w:rsid w:val="00EC03C4"/>
    <w:rsid w:val="00EC244E"/>
    <w:rsid w:val="00EC2645"/>
    <w:rsid w:val="00ED216C"/>
    <w:rsid w:val="00ED39D2"/>
    <w:rsid w:val="00ED5D5D"/>
    <w:rsid w:val="00ED71D8"/>
    <w:rsid w:val="00EE335F"/>
    <w:rsid w:val="00EE6ED0"/>
    <w:rsid w:val="00EF0DF4"/>
    <w:rsid w:val="00EF4A12"/>
    <w:rsid w:val="00EF5A9C"/>
    <w:rsid w:val="00EF5D3C"/>
    <w:rsid w:val="00EF714F"/>
    <w:rsid w:val="00F04F4A"/>
    <w:rsid w:val="00F12363"/>
    <w:rsid w:val="00F13349"/>
    <w:rsid w:val="00F13545"/>
    <w:rsid w:val="00F13679"/>
    <w:rsid w:val="00F1776C"/>
    <w:rsid w:val="00F20517"/>
    <w:rsid w:val="00F20D20"/>
    <w:rsid w:val="00F21121"/>
    <w:rsid w:val="00F30098"/>
    <w:rsid w:val="00F3226E"/>
    <w:rsid w:val="00F327C3"/>
    <w:rsid w:val="00F32C50"/>
    <w:rsid w:val="00F32E39"/>
    <w:rsid w:val="00F41548"/>
    <w:rsid w:val="00F43C77"/>
    <w:rsid w:val="00F471BE"/>
    <w:rsid w:val="00F47F71"/>
    <w:rsid w:val="00F5660D"/>
    <w:rsid w:val="00F56FC5"/>
    <w:rsid w:val="00F57A00"/>
    <w:rsid w:val="00F6742A"/>
    <w:rsid w:val="00F722AE"/>
    <w:rsid w:val="00F7608A"/>
    <w:rsid w:val="00F76BF1"/>
    <w:rsid w:val="00F85753"/>
    <w:rsid w:val="00F966FC"/>
    <w:rsid w:val="00FA7363"/>
    <w:rsid w:val="00FB535E"/>
    <w:rsid w:val="00FB7048"/>
    <w:rsid w:val="00FC28B3"/>
    <w:rsid w:val="00FC3EDE"/>
    <w:rsid w:val="00FC5171"/>
    <w:rsid w:val="00FC7FC2"/>
    <w:rsid w:val="00FD1C8E"/>
    <w:rsid w:val="00FD31D7"/>
    <w:rsid w:val="00FD4600"/>
    <w:rsid w:val="00FD5FBB"/>
    <w:rsid w:val="00FE048E"/>
    <w:rsid w:val="00FE625D"/>
    <w:rsid w:val="00FE7990"/>
    <w:rsid w:val="00FE7A56"/>
    <w:rsid w:val="227FF66B"/>
    <w:rsid w:val="2343C277"/>
    <w:rsid w:val="51CBDC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89"/>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oma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www.komatsu.com/en/technology/smart-mining/modular/?utm_source=Komatsu&amp;utm_medium=PressRelease&amp;utm_campaign=MINExpo2024&amp;utm_content=Modular%20ecosystem" TargetMode="External"/><Relationship Id="rId4" Type="http://schemas.openxmlformats.org/officeDocument/2006/relationships/numbering" Target="numbering.xml"/><Relationship Id="rId9" Type="http://schemas.openxmlformats.org/officeDocument/2006/relationships/hyperlink" Target="mailto:mason.raube@global.komatsu" TargetMode="External"/><Relationship Id="rId14" Type="http://schemas.openxmlformats.org/officeDocument/2006/relationships/theme" Target="theme/theme1.xm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309CD0B4A740A364BA244BAA1BEB" ma:contentTypeVersion="18" ma:contentTypeDescription="Create a new document." ma:contentTypeScope="" ma:versionID="6fae00dd833d19cb8b80578b1013c263">
  <xsd:schema xmlns:xsd="http://www.w3.org/2001/XMLSchema" xmlns:xs="http://www.w3.org/2001/XMLSchema" xmlns:p="http://schemas.microsoft.com/office/2006/metadata/properties" xmlns:ns3="3a5e6ed2-2b67-40f7-9709-7798a58342cd" xmlns:ns4="d133656c-f249-43b4-bc3e-d262fac4f6ec" targetNamespace="http://schemas.microsoft.com/office/2006/metadata/properties" ma:root="true" ma:fieldsID="056b0d5f9ca28b3e258066cff6e06b69" ns3:_="" ns4:_="">
    <xsd:import namespace="3a5e6ed2-2b67-40f7-9709-7798a58342cd"/>
    <xsd:import namespace="d133656c-f249-43b4-bc3e-d262fac4f6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e6ed2-2b67-40f7-9709-7798a583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656c-f249-43b4-bc3e-d262fac4f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5e6ed2-2b67-40f7-9709-7798a58342cd" xsi:nil="true"/>
  </documentManagement>
</p:properties>
</file>

<file path=customXml/itemProps1.xml><?xml version="1.0" encoding="utf-8"?>
<ds:datastoreItem xmlns:ds="http://schemas.openxmlformats.org/officeDocument/2006/customXml" ds:itemID="{9393FA18-13E6-4F50-92C6-2B47DCCB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e6ed2-2b67-40f7-9709-7798a58342cd"/>
    <ds:schemaRef ds:uri="d133656c-f249-43b4-bc3e-d262fac4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9BE00F83-5A3C-4909-B753-92B64EAD78A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133656c-f249-43b4-bc3e-d262fac4f6ec"/>
    <ds:schemaRef ds:uri="3a5e6ed2-2b67-40f7-9709-7798a58342cd"/>
    <ds:schemaRef ds:uri="http://www.w3.org/XML/1998/namespace"/>
    <ds:schemaRef ds:uri="http://purl.org/dc/dcmitype/"/>
  </ds:schemaRefs>
</ds:datastoreItem>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498</Words>
  <Characters>3243</Characters>
  <Application>Microsoft Office Word</Application>
  <DocSecurity>0</DocSecurity>
  <Lines>27</Lines>
  <Paragraphs>7</Paragraphs>
  <ScaleCrop>false</ScaleCrop>
  <Company>Komatsu Ameica Corp</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Raube</dc:creator>
  <cp:keywords/>
  <dc:description/>
  <cp:lastModifiedBy>Jill Rick</cp:lastModifiedBy>
  <cp:revision>5</cp:revision>
  <cp:lastPrinted>2023-02-08T21:38:00Z</cp:lastPrinted>
  <dcterms:created xsi:type="dcterms:W3CDTF">2024-09-20T19:57:00Z</dcterms:created>
  <dcterms:modified xsi:type="dcterms:W3CDTF">2024-09-23T22:25:00Z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0x010100FD26309CD0B4A740A364BA244BAA1BEB</vt:lpwstr>
  </property>
  <property fmtid="{D5CDD505-2E9C-101B-9397-08002B2CF9AE}" pid="3" name="MediaServiceImageTags">
    <vt:lpwstr/>
  </property>
  <property fmtid="{D5CDD505-2E9C-101B-9397-08002B2CF9AE}" pid="4" name="GrammarlyDocumentId">
    <vt:lpwstr>ae72f581abaffa601a29716424e00c67cd0c403116d6906a6bd4beca19a5e53f</vt:lpwstr>
  </property>
</Properties>
</file>